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9A4F02" w14:textId="44E86AC7" w:rsidR="00650E3B" w:rsidRPr="00B83C9C" w:rsidRDefault="00C33E40" w:rsidP="00AB4330">
      <w:pPr>
        <w:pStyle w:val="Heading1"/>
        <w:pageBreakBefore/>
        <w:numPr>
          <w:ilvl w:val="0"/>
          <w:numId w:val="0"/>
        </w:numPr>
        <w:spacing w:before="120" w:after="120" w:line="240" w:lineRule="auto"/>
        <w:jc w:val="left"/>
        <w:rPr>
          <w:sz w:val="28"/>
          <w:szCs w:val="20"/>
        </w:rPr>
      </w:pPr>
      <w:r w:rsidRPr="00B83C9C">
        <w:rPr>
          <w:sz w:val="28"/>
          <w:szCs w:val="20"/>
        </w:rPr>
        <w:t>Mesh sensitivity study for idealised human intervertebral disc</w:t>
      </w:r>
    </w:p>
    <w:p w14:paraId="1EF08512" w14:textId="65D35E2D" w:rsidR="00C33E40" w:rsidRDefault="009C15B5" w:rsidP="00094E23">
      <w:pPr>
        <w:rPr>
          <w:rFonts w:cs="Arial"/>
        </w:rPr>
      </w:pPr>
      <w:r>
        <w:rPr>
          <w:rFonts w:cs="Arial"/>
        </w:rPr>
        <w:t>Methods and Results are extracted from</w:t>
      </w:r>
      <w:r w:rsidR="0088008A">
        <w:rPr>
          <w:rFonts w:cs="Arial"/>
        </w:rPr>
        <w:t xml:space="preserve"> Chapter 3 </w:t>
      </w:r>
      <w:r w:rsidR="003A6BFB">
        <w:rPr>
          <w:rFonts w:cs="Arial"/>
        </w:rPr>
        <w:t>of</w:t>
      </w:r>
      <w:r w:rsidR="0088008A">
        <w:rPr>
          <w:rFonts w:cs="Arial"/>
        </w:rPr>
        <w:t xml:space="preserve"> </w:t>
      </w:r>
      <w:r w:rsidR="0088008A" w:rsidRPr="0088008A">
        <w:rPr>
          <w:i/>
          <w:iCs/>
        </w:rPr>
        <w:t>Computational simulation of the intervertebral disc.</w:t>
      </w:r>
      <w:r w:rsidR="0088008A" w:rsidRPr="0088008A">
        <w:t xml:space="preserve"> </w:t>
      </w:r>
      <w:r w:rsidR="00A14463" w:rsidRPr="0088008A">
        <w:t xml:space="preserve">Luxmoore, </w:t>
      </w:r>
      <w:r w:rsidR="00A51B81">
        <w:t xml:space="preserve">B.J. </w:t>
      </w:r>
      <w:r w:rsidR="00A14463" w:rsidRPr="0088008A">
        <w:t>(2013)</w:t>
      </w:r>
      <w:r w:rsidR="00A14463">
        <w:t>,</w:t>
      </w:r>
      <w:r w:rsidR="00A14463" w:rsidRPr="0088008A">
        <w:t xml:space="preserve"> </w:t>
      </w:r>
      <w:r w:rsidR="0088008A" w:rsidRPr="0088008A">
        <w:t>PhD thesis, University of Leeds</w:t>
      </w:r>
      <w:r w:rsidR="00A14463">
        <w:t xml:space="preserve"> – released under </w:t>
      </w:r>
      <w:r w:rsidR="003A6BFB">
        <w:t>CC-</w:t>
      </w:r>
      <w:r w:rsidR="001135D7" w:rsidRPr="001135D7">
        <w:t>BY-NC-SA</w:t>
      </w:r>
    </w:p>
    <w:p w14:paraId="5300760A" w14:textId="613E05D6" w:rsidR="005D40F4" w:rsidRDefault="005D40F4" w:rsidP="005D40F4">
      <w:pPr>
        <w:pStyle w:val="Heading4"/>
      </w:pPr>
      <w:r>
        <w:t>Method</w:t>
      </w:r>
      <w:r w:rsidR="009C15B5">
        <w:t>s</w:t>
      </w:r>
    </w:p>
    <w:p w14:paraId="229A4F10" w14:textId="492EB123" w:rsidR="00650E3B" w:rsidRDefault="00E63792" w:rsidP="00826CB8">
      <w:pPr>
        <w:rPr>
          <w:rFonts w:cs="Arial"/>
        </w:rPr>
      </w:pPr>
      <w:r>
        <w:rPr>
          <w:rFonts w:cs="Arial"/>
        </w:rPr>
        <w:t xml:space="preserve">An idealised </w:t>
      </w:r>
      <w:r w:rsidR="0026558E">
        <w:rPr>
          <w:rFonts w:cs="Arial"/>
        </w:rPr>
        <w:t>finite element</w:t>
      </w:r>
      <w:r>
        <w:rPr>
          <w:rFonts w:cs="Arial"/>
        </w:rPr>
        <w:t xml:space="preserve"> model </w:t>
      </w:r>
      <w:r w:rsidR="001625B2">
        <w:rPr>
          <w:rFonts w:cs="Arial"/>
        </w:rPr>
        <w:t xml:space="preserve">of a bone-disc-bone unit </w:t>
      </w:r>
      <w:r>
        <w:rPr>
          <w:rFonts w:cs="Arial"/>
        </w:rPr>
        <w:t xml:space="preserve">was developed </w:t>
      </w:r>
      <w:r w:rsidR="001625B2">
        <w:rPr>
          <w:rFonts w:cs="Arial"/>
        </w:rPr>
        <w:t>and a mesh convergence study for apparent stiffness and bulge was conducted</w:t>
      </w:r>
      <w:r>
        <w:rPr>
          <w:rFonts w:cs="Arial"/>
        </w:rPr>
        <w:t>.</w:t>
      </w:r>
      <w:r w:rsidR="00650E3B" w:rsidRPr="0092154C">
        <w:rPr>
          <w:rFonts w:cs="Arial"/>
        </w:rPr>
        <w:t xml:space="preserve"> </w:t>
      </w:r>
      <w:r w:rsidR="008A01B8" w:rsidRPr="0092154C">
        <w:rPr>
          <w:rFonts w:cs="Arial"/>
        </w:rPr>
        <w:t>The disc and vertebral bodies were assumed cylindrical</w:t>
      </w:r>
      <w:r w:rsidR="006214AA">
        <w:rPr>
          <w:rFonts w:cs="Arial"/>
        </w:rPr>
        <w:t xml:space="preserve"> (Figure 1)</w:t>
      </w:r>
      <w:r w:rsidR="008A01B8" w:rsidRPr="0092154C">
        <w:rPr>
          <w:rFonts w:cs="Arial"/>
        </w:rPr>
        <w:t xml:space="preserve"> </w:t>
      </w:r>
      <w:r w:rsidR="00A04B27">
        <w:rPr>
          <w:rFonts w:cs="Arial"/>
        </w:rPr>
        <w:t xml:space="preserve">with </w:t>
      </w:r>
      <w:r w:rsidR="000B14D8">
        <w:rPr>
          <w:rFonts w:cs="Arial"/>
        </w:rPr>
        <w:t xml:space="preserve">disc </w:t>
      </w:r>
      <w:r w:rsidR="00F77F95" w:rsidRPr="0092154C">
        <w:rPr>
          <w:rFonts w:cs="Arial"/>
        </w:rPr>
        <w:t>dimensions chosen to represent the upper lumbar spine of an average sized, skeletally mature human</w:t>
      </w:r>
      <w:r w:rsidR="00F77F95">
        <w:rPr>
          <w:rFonts w:cs="Arial"/>
        </w:rPr>
        <w:t xml:space="preserve"> (Table 1)</w:t>
      </w:r>
      <w:r w:rsidR="00F77F95" w:rsidRPr="0092154C">
        <w:rPr>
          <w:rFonts w:cs="Arial"/>
        </w:rPr>
        <w:t>.</w:t>
      </w:r>
      <w:r w:rsidR="00F77F95">
        <w:rPr>
          <w:rFonts w:cs="Arial"/>
        </w:rPr>
        <w:t xml:space="preserve"> </w:t>
      </w:r>
      <w:r w:rsidR="007C7B97">
        <w:rPr>
          <w:rFonts w:cs="Arial"/>
        </w:rPr>
        <w:t xml:space="preserve">All tissues </w:t>
      </w:r>
      <w:r w:rsidR="00CF75A0">
        <w:rPr>
          <w:rFonts w:cs="Arial"/>
        </w:rPr>
        <w:t xml:space="preserve">surfaces </w:t>
      </w:r>
      <w:r w:rsidR="007C7B97">
        <w:rPr>
          <w:rFonts w:cs="Arial"/>
        </w:rPr>
        <w:t xml:space="preserve">were fully bounded to </w:t>
      </w:r>
      <w:r w:rsidR="00CF75A0">
        <w:rPr>
          <w:rFonts w:cs="Arial"/>
        </w:rPr>
        <w:t>their adjacent tissues.</w:t>
      </w:r>
    </w:p>
    <w:tbl>
      <w:tblPr>
        <w:tblStyle w:val="TableGrid"/>
        <w:tblW w:w="0" w:type="auto"/>
        <w:tblLook w:val="04A0" w:firstRow="1" w:lastRow="0" w:firstColumn="1" w:lastColumn="0" w:noHBand="0" w:noVBand="1"/>
      </w:tblPr>
      <w:tblGrid>
        <w:gridCol w:w="4251"/>
        <w:gridCol w:w="4986"/>
      </w:tblGrid>
      <w:tr w:rsidR="006214AA" w14:paraId="63356062" w14:textId="77777777" w:rsidTr="00605337">
        <w:tc>
          <w:tcPr>
            <w:tcW w:w="4613" w:type="dxa"/>
            <w:tcBorders>
              <w:top w:val="nil"/>
              <w:left w:val="nil"/>
              <w:bottom w:val="nil"/>
              <w:right w:val="nil"/>
            </w:tcBorders>
            <w:vAlign w:val="center"/>
          </w:tcPr>
          <w:p w14:paraId="1B5E350E" w14:textId="77E89405" w:rsidR="00F14A92" w:rsidRPr="00F14A92" w:rsidRDefault="00F14A92" w:rsidP="00AF6B42">
            <w:pPr>
              <w:ind w:left="315"/>
              <w:rPr>
                <w:rFonts w:cs="Arial"/>
                <w:bCs/>
                <w:i/>
                <w:sz w:val="20"/>
                <w:szCs w:val="20"/>
                <w:lang w:val="en-GB"/>
              </w:rPr>
            </w:pPr>
            <w:r w:rsidRPr="00F14A92">
              <w:rPr>
                <w:rFonts w:cs="Arial"/>
                <w:bCs/>
                <w:i/>
                <w:sz w:val="20"/>
                <w:szCs w:val="20"/>
                <w:lang w:val="en-GB"/>
              </w:rPr>
              <w:t xml:space="preserve">Table </w:t>
            </w:r>
            <w:r w:rsidRPr="00F14A92">
              <w:rPr>
                <w:rFonts w:cs="Arial"/>
                <w:bCs/>
                <w:i/>
                <w:sz w:val="20"/>
                <w:szCs w:val="20"/>
              </w:rPr>
              <w:fldChar w:fldCharType="begin"/>
            </w:r>
            <w:r w:rsidRPr="00F14A92">
              <w:rPr>
                <w:rFonts w:cs="Arial"/>
                <w:bCs/>
                <w:i/>
                <w:sz w:val="20"/>
                <w:szCs w:val="20"/>
                <w:lang w:val="en-GB"/>
              </w:rPr>
              <w:instrText xml:space="preserve"> SEQ Table \* ARABIC \s 1 </w:instrText>
            </w:r>
            <w:r w:rsidRPr="00F14A92">
              <w:rPr>
                <w:rFonts w:cs="Arial"/>
                <w:bCs/>
                <w:i/>
                <w:sz w:val="20"/>
                <w:szCs w:val="20"/>
              </w:rPr>
              <w:fldChar w:fldCharType="separate"/>
            </w:r>
            <w:r w:rsidR="00755B6A">
              <w:rPr>
                <w:rFonts w:cs="Arial"/>
                <w:bCs/>
                <w:i/>
                <w:noProof/>
                <w:sz w:val="20"/>
                <w:szCs w:val="20"/>
                <w:lang w:val="en-GB"/>
              </w:rPr>
              <w:t>1</w:t>
            </w:r>
            <w:r w:rsidRPr="00F14A92">
              <w:rPr>
                <w:rFonts w:cs="Arial"/>
                <w:sz w:val="20"/>
                <w:szCs w:val="20"/>
              </w:rPr>
              <w:fldChar w:fldCharType="end"/>
            </w:r>
            <w:r w:rsidRPr="00F14A92">
              <w:rPr>
                <w:rFonts w:cs="Arial"/>
                <w:bCs/>
                <w:i/>
                <w:sz w:val="20"/>
                <w:szCs w:val="20"/>
                <w:lang w:val="en-GB"/>
              </w:rPr>
              <w:t xml:space="preserve"> – </w:t>
            </w:r>
            <w:r w:rsidR="00AF6B42">
              <w:rPr>
                <w:rFonts w:cs="Arial"/>
                <w:bCs/>
                <w:i/>
                <w:sz w:val="20"/>
                <w:szCs w:val="20"/>
                <w:lang w:val="en-GB"/>
              </w:rPr>
              <w:t>M</w:t>
            </w:r>
            <w:r w:rsidRPr="00F14A92">
              <w:rPr>
                <w:rFonts w:cs="Arial"/>
                <w:bCs/>
                <w:i/>
                <w:sz w:val="20"/>
                <w:szCs w:val="20"/>
                <w:lang w:val="en-GB"/>
              </w:rPr>
              <w:t>odel geometry.  D</w:t>
            </w:r>
            <w:r w:rsidRPr="00F14A92">
              <w:rPr>
                <w:rFonts w:cs="Arial"/>
                <w:bCs/>
                <w:i/>
                <w:sz w:val="20"/>
                <w:szCs w:val="20"/>
                <w:vertAlign w:val="subscript"/>
                <w:lang w:val="en-GB"/>
              </w:rPr>
              <w:t>o</w:t>
            </w:r>
            <w:r w:rsidRPr="00F14A92">
              <w:rPr>
                <w:rFonts w:cs="Arial"/>
                <w:bCs/>
                <w:i/>
                <w:sz w:val="20"/>
                <w:szCs w:val="20"/>
                <w:lang w:val="en-GB"/>
              </w:rPr>
              <w:t xml:space="preserve"> = outer diameter, H = height.</w:t>
            </w:r>
          </w:p>
          <w:tbl>
            <w:tblPr>
              <w:tblStyle w:val="TableGrid"/>
              <w:tblW w:w="3547" w:type="dxa"/>
              <w:jc w:val="center"/>
              <w:tblCellMar>
                <w:left w:w="57" w:type="dxa"/>
                <w:right w:w="57" w:type="dxa"/>
              </w:tblCellMar>
              <w:tblLook w:val="04A0" w:firstRow="1" w:lastRow="0" w:firstColumn="1" w:lastColumn="0" w:noHBand="0" w:noVBand="1"/>
            </w:tblPr>
            <w:tblGrid>
              <w:gridCol w:w="1727"/>
              <w:gridCol w:w="992"/>
              <w:gridCol w:w="828"/>
            </w:tblGrid>
            <w:tr w:rsidR="006214AA" w:rsidRPr="00F14A92" w14:paraId="1EFD96CE" w14:textId="77777777" w:rsidTr="006214AA">
              <w:trPr>
                <w:jc w:val="center"/>
              </w:trPr>
              <w:tc>
                <w:tcPr>
                  <w:tcW w:w="1727" w:type="dxa"/>
                </w:tcPr>
                <w:p w14:paraId="08261668" w14:textId="77777777" w:rsidR="006214AA" w:rsidRPr="00F14A92" w:rsidRDefault="006214AA" w:rsidP="00605337">
                  <w:pPr>
                    <w:spacing w:after="0"/>
                    <w:rPr>
                      <w:rFonts w:cs="Arial"/>
                      <w:sz w:val="20"/>
                      <w:szCs w:val="20"/>
                      <w:lang w:val="en-GB"/>
                    </w:rPr>
                  </w:pPr>
                </w:p>
              </w:tc>
              <w:tc>
                <w:tcPr>
                  <w:tcW w:w="992" w:type="dxa"/>
                  <w:vAlign w:val="center"/>
                </w:tcPr>
                <w:p w14:paraId="38364FBA" w14:textId="77777777" w:rsidR="006214AA" w:rsidRPr="00F14A92" w:rsidRDefault="006214AA" w:rsidP="00605337">
                  <w:pPr>
                    <w:spacing w:after="0"/>
                    <w:rPr>
                      <w:rFonts w:cs="Arial"/>
                      <w:sz w:val="20"/>
                      <w:szCs w:val="20"/>
                      <w:lang w:val="en-GB"/>
                    </w:rPr>
                  </w:pPr>
                  <w:r w:rsidRPr="00F14A92">
                    <w:rPr>
                      <w:rFonts w:cs="Arial"/>
                      <w:sz w:val="20"/>
                      <w:szCs w:val="20"/>
                      <w:lang w:val="en-GB"/>
                    </w:rPr>
                    <w:t>D</w:t>
                  </w:r>
                  <w:r w:rsidRPr="00F14A92">
                    <w:rPr>
                      <w:rFonts w:cs="Arial"/>
                      <w:sz w:val="20"/>
                      <w:szCs w:val="20"/>
                      <w:vertAlign w:val="subscript"/>
                      <w:lang w:val="en-GB"/>
                    </w:rPr>
                    <w:t xml:space="preserve">o </w:t>
                  </w:r>
                  <w:r w:rsidRPr="00F14A92">
                    <w:rPr>
                      <w:rFonts w:cs="Arial"/>
                      <w:sz w:val="20"/>
                      <w:szCs w:val="20"/>
                      <w:lang w:val="en-GB"/>
                    </w:rPr>
                    <w:t>(mm)</w:t>
                  </w:r>
                </w:p>
              </w:tc>
              <w:tc>
                <w:tcPr>
                  <w:tcW w:w="828" w:type="dxa"/>
                  <w:vAlign w:val="center"/>
                </w:tcPr>
                <w:p w14:paraId="2C60F757" w14:textId="77777777" w:rsidR="006214AA" w:rsidRPr="00F14A92" w:rsidRDefault="006214AA" w:rsidP="00605337">
                  <w:pPr>
                    <w:spacing w:after="0"/>
                    <w:rPr>
                      <w:rFonts w:cs="Arial"/>
                      <w:sz w:val="20"/>
                      <w:szCs w:val="20"/>
                      <w:lang w:val="en-GB"/>
                    </w:rPr>
                  </w:pPr>
                  <w:r w:rsidRPr="00F14A92">
                    <w:rPr>
                      <w:rFonts w:cs="Arial"/>
                      <w:sz w:val="20"/>
                      <w:szCs w:val="20"/>
                      <w:lang w:val="en-GB"/>
                    </w:rPr>
                    <w:t>H (mm)</w:t>
                  </w:r>
                </w:p>
              </w:tc>
            </w:tr>
            <w:tr w:rsidR="006214AA" w:rsidRPr="00F14A92" w14:paraId="1AF8804D" w14:textId="77777777" w:rsidTr="006214AA">
              <w:trPr>
                <w:jc w:val="center"/>
              </w:trPr>
              <w:tc>
                <w:tcPr>
                  <w:tcW w:w="1727" w:type="dxa"/>
                </w:tcPr>
                <w:p w14:paraId="018F1A48" w14:textId="77777777" w:rsidR="006214AA" w:rsidRPr="00F14A92" w:rsidRDefault="006214AA" w:rsidP="00605337">
                  <w:pPr>
                    <w:spacing w:after="0"/>
                    <w:rPr>
                      <w:rFonts w:cs="Arial"/>
                      <w:sz w:val="20"/>
                      <w:szCs w:val="20"/>
                      <w:lang w:val="en-GB"/>
                    </w:rPr>
                  </w:pPr>
                  <w:r w:rsidRPr="00F14A92">
                    <w:rPr>
                      <w:rFonts w:cs="Arial"/>
                      <w:sz w:val="20"/>
                      <w:szCs w:val="20"/>
                      <w:lang w:val="en-GB"/>
                    </w:rPr>
                    <w:t>annulus fibrosus</w:t>
                  </w:r>
                </w:p>
              </w:tc>
              <w:tc>
                <w:tcPr>
                  <w:tcW w:w="992" w:type="dxa"/>
                </w:tcPr>
                <w:p w14:paraId="69EFED88" w14:textId="77777777" w:rsidR="006214AA" w:rsidRPr="00F14A92" w:rsidRDefault="006214AA" w:rsidP="006D3634">
                  <w:pPr>
                    <w:spacing w:after="0"/>
                    <w:jc w:val="center"/>
                    <w:rPr>
                      <w:rFonts w:cs="Arial"/>
                      <w:sz w:val="20"/>
                      <w:szCs w:val="20"/>
                      <w:lang w:val="en-GB"/>
                    </w:rPr>
                  </w:pPr>
                  <w:r w:rsidRPr="00F14A92">
                    <w:rPr>
                      <w:rFonts w:cs="Arial"/>
                      <w:sz w:val="20"/>
                      <w:szCs w:val="20"/>
                      <w:lang w:val="en-GB"/>
                    </w:rPr>
                    <w:t>48</w:t>
                  </w:r>
                </w:p>
              </w:tc>
              <w:tc>
                <w:tcPr>
                  <w:tcW w:w="828" w:type="dxa"/>
                </w:tcPr>
                <w:p w14:paraId="0B4CC399" w14:textId="77777777" w:rsidR="006214AA" w:rsidRPr="00F14A92" w:rsidRDefault="006214AA" w:rsidP="006D3634">
                  <w:pPr>
                    <w:spacing w:after="0"/>
                    <w:jc w:val="center"/>
                    <w:rPr>
                      <w:rFonts w:cs="Arial"/>
                      <w:sz w:val="20"/>
                      <w:szCs w:val="20"/>
                      <w:lang w:val="en-GB"/>
                    </w:rPr>
                  </w:pPr>
                  <w:r w:rsidRPr="00F14A92">
                    <w:rPr>
                      <w:rFonts w:cs="Arial"/>
                      <w:sz w:val="20"/>
                      <w:szCs w:val="20"/>
                      <w:lang w:val="en-GB"/>
                    </w:rPr>
                    <w:t>12</w:t>
                  </w:r>
                </w:p>
              </w:tc>
            </w:tr>
            <w:tr w:rsidR="006214AA" w:rsidRPr="00F14A92" w14:paraId="52B0DE99" w14:textId="77777777" w:rsidTr="006214AA">
              <w:trPr>
                <w:jc w:val="center"/>
              </w:trPr>
              <w:tc>
                <w:tcPr>
                  <w:tcW w:w="1727" w:type="dxa"/>
                </w:tcPr>
                <w:p w14:paraId="4A5EDAE5" w14:textId="77777777" w:rsidR="006214AA" w:rsidRPr="00F14A92" w:rsidRDefault="006214AA" w:rsidP="00605337">
                  <w:pPr>
                    <w:spacing w:after="0"/>
                    <w:rPr>
                      <w:rFonts w:cs="Arial"/>
                      <w:sz w:val="20"/>
                      <w:szCs w:val="20"/>
                      <w:lang w:val="en-GB"/>
                    </w:rPr>
                  </w:pPr>
                  <w:r w:rsidRPr="00F14A92">
                    <w:rPr>
                      <w:rFonts w:cs="Arial"/>
                      <w:sz w:val="20"/>
                      <w:szCs w:val="20"/>
                      <w:lang w:val="en-GB"/>
                    </w:rPr>
                    <w:t>nucleus pulposus</w:t>
                  </w:r>
                </w:p>
              </w:tc>
              <w:tc>
                <w:tcPr>
                  <w:tcW w:w="992" w:type="dxa"/>
                </w:tcPr>
                <w:p w14:paraId="340063A0" w14:textId="77777777" w:rsidR="006214AA" w:rsidRPr="00F14A92" w:rsidRDefault="006214AA" w:rsidP="006D3634">
                  <w:pPr>
                    <w:spacing w:after="0"/>
                    <w:jc w:val="center"/>
                    <w:rPr>
                      <w:rFonts w:cs="Arial"/>
                      <w:sz w:val="20"/>
                      <w:szCs w:val="20"/>
                      <w:lang w:val="en-GB"/>
                    </w:rPr>
                  </w:pPr>
                  <w:r w:rsidRPr="00F14A92">
                    <w:rPr>
                      <w:rFonts w:cs="Arial"/>
                      <w:sz w:val="20"/>
                      <w:szCs w:val="20"/>
                      <w:lang w:val="en-GB"/>
                    </w:rPr>
                    <w:t>24</w:t>
                  </w:r>
                </w:p>
              </w:tc>
              <w:tc>
                <w:tcPr>
                  <w:tcW w:w="828" w:type="dxa"/>
                </w:tcPr>
                <w:p w14:paraId="67F8E688" w14:textId="77777777" w:rsidR="006214AA" w:rsidRPr="00F14A92" w:rsidRDefault="006214AA" w:rsidP="006D3634">
                  <w:pPr>
                    <w:spacing w:after="0"/>
                    <w:jc w:val="center"/>
                    <w:rPr>
                      <w:rFonts w:cs="Arial"/>
                      <w:sz w:val="20"/>
                      <w:szCs w:val="20"/>
                      <w:lang w:val="en-GB"/>
                    </w:rPr>
                  </w:pPr>
                  <w:r w:rsidRPr="00F14A92">
                    <w:rPr>
                      <w:rFonts w:cs="Arial"/>
                      <w:sz w:val="20"/>
                      <w:szCs w:val="20"/>
                      <w:lang w:val="en-GB"/>
                    </w:rPr>
                    <w:t>12</w:t>
                  </w:r>
                </w:p>
              </w:tc>
            </w:tr>
            <w:tr w:rsidR="006214AA" w:rsidRPr="00F14A92" w14:paraId="207DE48A" w14:textId="77777777" w:rsidTr="006214AA">
              <w:trPr>
                <w:jc w:val="center"/>
              </w:trPr>
              <w:tc>
                <w:tcPr>
                  <w:tcW w:w="1727" w:type="dxa"/>
                </w:tcPr>
                <w:p w14:paraId="665882B3" w14:textId="77777777" w:rsidR="006214AA" w:rsidRPr="00F14A92" w:rsidRDefault="006214AA" w:rsidP="00605337">
                  <w:pPr>
                    <w:spacing w:after="0"/>
                    <w:rPr>
                      <w:rFonts w:cs="Arial"/>
                      <w:sz w:val="20"/>
                      <w:szCs w:val="20"/>
                      <w:lang w:val="en-GB"/>
                    </w:rPr>
                  </w:pPr>
                  <w:r w:rsidRPr="00F14A92">
                    <w:rPr>
                      <w:rFonts w:cs="Arial"/>
                      <w:sz w:val="20"/>
                      <w:szCs w:val="20"/>
                      <w:lang w:val="en-GB"/>
                    </w:rPr>
                    <w:t>vertebral bodies</w:t>
                  </w:r>
                </w:p>
              </w:tc>
              <w:tc>
                <w:tcPr>
                  <w:tcW w:w="992" w:type="dxa"/>
                </w:tcPr>
                <w:p w14:paraId="6C9AF52D" w14:textId="77777777" w:rsidR="006214AA" w:rsidRPr="00F14A92" w:rsidRDefault="006214AA" w:rsidP="006D3634">
                  <w:pPr>
                    <w:spacing w:after="0"/>
                    <w:jc w:val="center"/>
                    <w:rPr>
                      <w:rFonts w:cs="Arial"/>
                      <w:sz w:val="20"/>
                      <w:szCs w:val="20"/>
                      <w:lang w:val="en-GB"/>
                    </w:rPr>
                  </w:pPr>
                  <w:r w:rsidRPr="00F14A92">
                    <w:rPr>
                      <w:rFonts w:cs="Arial"/>
                      <w:sz w:val="20"/>
                      <w:szCs w:val="20"/>
                      <w:lang w:val="en-GB"/>
                    </w:rPr>
                    <w:t>48</w:t>
                  </w:r>
                </w:p>
              </w:tc>
              <w:tc>
                <w:tcPr>
                  <w:tcW w:w="828" w:type="dxa"/>
                </w:tcPr>
                <w:p w14:paraId="5410B85F" w14:textId="77777777" w:rsidR="006214AA" w:rsidRPr="00F14A92" w:rsidRDefault="006214AA" w:rsidP="006D3634">
                  <w:pPr>
                    <w:spacing w:after="0"/>
                    <w:jc w:val="center"/>
                    <w:rPr>
                      <w:rFonts w:cs="Arial"/>
                      <w:sz w:val="20"/>
                      <w:szCs w:val="20"/>
                      <w:lang w:val="en-GB"/>
                    </w:rPr>
                  </w:pPr>
                  <w:r w:rsidRPr="00F14A92">
                    <w:rPr>
                      <w:rFonts w:cs="Arial"/>
                      <w:sz w:val="20"/>
                      <w:szCs w:val="20"/>
                      <w:lang w:val="en-GB"/>
                    </w:rPr>
                    <w:t>6</w:t>
                  </w:r>
                </w:p>
              </w:tc>
            </w:tr>
          </w:tbl>
          <w:p w14:paraId="5EABAAA2" w14:textId="77777777" w:rsidR="00F14A92" w:rsidRDefault="00F14A92" w:rsidP="00605337">
            <w:pPr>
              <w:rPr>
                <w:rFonts w:cs="Arial"/>
              </w:rPr>
            </w:pPr>
          </w:p>
        </w:tc>
        <w:tc>
          <w:tcPr>
            <w:tcW w:w="4614" w:type="dxa"/>
            <w:tcBorders>
              <w:top w:val="nil"/>
              <w:left w:val="nil"/>
              <w:bottom w:val="nil"/>
              <w:right w:val="nil"/>
            </w:tcBorders>
            <w:vAlign w:val="center"/>
          </w:tcPr>
          <w:p w14:paraId="345A9EA7" w14:textId="76F5FCED" w:rsidR="00C93122" w:rsidRDefault="00980FA2" w:rsidP="00605337">
            <w:pPr>
              <w:keepNext/>
            </w:pPr>
            <w:r>
              <w:rPr>
                <w:noProof/>
              </w:rPr>
              <w:drawing>
                <wp:inline distT="0" distB="0" distL="0" distR="0" wp14:anchorId="65643B83" wp14:editId="6D0E6A39">
                  <wp:extent cx="3024000" cy="1569751"/>
                  <wp:effectExtent l="0" t="0" r="508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7">
                            <a:extLst>
                              <a:ext uri="{28A0092B-C50C-407E-A947-70E740481C1C}">
                                <a14:useLocalDpi xmlns:a14="http://schemas.microsoft.com/office/drawing/2010/main" val="0"/>
                              </a:ext>
                            </a:extLst>
                          </a:blip>
                          <a:srcRect r="2280"/>
                          <a:stretch/>
                        </pic:blipFill>
                        <pic:spPr bwMode="auto">
                          <a:xfrm>
                            <a:off x="0" y="0"/>
                            <a:ext cx="3024000" cy="1569751"/>
                          </a:xfrm>
                          <a:prstGeom prst="rect">
                            <a:avLst/>
                          </a:prstGeom>
                          <a:noFill/>
                          <a:ln>
                            <a:noFill/>
                          </a:ln>
                          <a:extLst>
                            <a:ext uri="{53640926-AAD7-44D8-BBD7-CCE9431645EC}">
                              <a14:shadowObscured xmlns:a14="http://schemas.microsoft.com/office/drawing/2010/main"/>
                            </a:ext>
                          </a:extLst>
                        </pic:spPr>
                      </pic:pic>
                    </a:graphicData>
                  </a:graphic>
                </wp:inline>
              </w:drawing>
            </w:r>
          </w:p>
          <w:p w14:paraId="7ABDECE1" w14:textId="63F917DB" w:rsidR="00F14A92" w:rsidRDefault="00C93122" w:rsidP="00605337">
            <w:pPr>
              <w:pStyle w:val="Caption"/>
              <w:jc w:val="left"/>
              <w:rPr>
                <w:rFonts w:cs="Arial"/>
              </w:rPr>
            </w:pPr>
            <w:r w:rsidRPr="00C93122">
              <w:rPr>
                <w:sz w:val="20"/>
                <w:szCs w:val="20"/>
              </w:rPr>
              <w:t xml:space="preserve">Figure </w:t>
            </w:r>
            <w:r w:rsidRPr="00C93122">
              <w:rPr>
                <w:sz w:val="20"/>
                <w:szCs w:val="20"/>
              </w:rPr>
              <w:fldChar w:fldCharType="begin"/>
            </w:r>
            <w:r w:rsidRPr="00C93122">
              <w:rPr>
                <w:sz w:val="20"/>
                <w:szCs w:val="20"/>
              </w:rPr>
              <w:instrText xml:space="preserve"> SEQ Figure \* ARABIC </w:instrText>
            </w:r>
            <w:r w:rsidRPr="00C93122">
              <w:rPr>
                <w:sz w:val="20"/>
                <w:szCs w:val="20"/>
              </w:rPr>
              <w:fldChar w:fldCharType="separate"/>
            </w:r>
            <w:r w:rsidR="00755B6A">
              <w:rPr>
                <w:noProof/>
                <w:sz w:val="20"/>
                <w:szCs w:val="20"/>
              </w:rPr>
              <w:t>1</w:t>
            </w:r>
            <w:r w:rsidRPr="00C93122">
              <w:rPr>
                <w:sz w:val="20"/>
                <w:szCs w:val="20"/>
              </w:rPr>
              <w:fldChar w:fldCharType="end"/>
            </w:r>
            <w:r w:rsidRPr="00C93122">
              <w:rPr>
                <w:sz w:val="20"/>
                <w:szCs w:val="20"/>
              </w:rPr>
              <w:t>: 2D view of the model, cut through the axial plane</w:t>
            </w:r>
          </w:p>
        </w:tc>
      </w:tr>
    </w:tbl>
    <w:p w14:paraId="229A4F1A" w14:textId="4DE52B6D" w:rsidR="00650E3B" w:rsidRPr="0092154C" w:rsidRDefault="00650E3B" w:rsidP="00826CB8">
      <w:pPr>
        <w:rPr>
          <w:rFonts w:cs="Arial"/>
        </w:rPr>
      </w:pPr>
      <w:r w:rsidRPr="0092154C">
        <w:rPr>
          <w:rFonts w:cs="Arial"/>
        </w:rPr>
        <w:t xml:space="preserve">The nodes on the base surface of the inferior vertebral body were constrained in all degrees of freedom. The model was loaded in uniaxial compression.  A point load </w:t>
      </w:r>
      <w:r w:rsidR="002D1B1C">
        <w:rPr>
          <w:rFonts w:cs="Arial"/>
        </w:rPr>
        <w:t xml:space="preserve">of </w:t>
      </w:r>
      <w:r w:rsidR="002D1B1C" w:rsidRPr="0092154C">
        <w:rPr>
          <w:rFonts w:cs="Arial"/>
        </w:rPr>
        <w:t>3.5</w:t>
      </w:r>
      <w:r w:rsidR="002D1B1C">
        <w:rPr>
          <w:rFonts w:cs="Arial"/>
        </w:rPr>
        <w:t xml:space="preserve"> </w:t>
      </w:r>
      <w:r w:rsidR="002D1B1C" w:rsidRPr="0092154C">
        <w:rPr>
          <w:rFonts w:cs="Arial"/>
        </w:rPr>
        <w:t xml:space="preserve">kN </w:t>
      </w:r>
      <w:r w:rsidRPr="0092154C">
        <w:rPr>
          <w:rFonts w:cs="Arial"/>
        </w:rPr>
        <w:t>was applied to the centre of a rigid plate that was tied to the upper surface of the superior vertebral body, ensuring that the whole of the upper surface was compressed evenly</w:t>
      </w:r>
      <w:r w:rsidR="00CF2879">
        <w:rPr>
          <w:rFonts w:cs="Arial"/>
        </w:rPr>
        <w:t>. The rigid plate</w:t>
      </w:r>
      <w:r w:rsidRPr="0092154C">
        <w:rPr>
          <w:rFonts w:cs="Arial"/>
        </w:rPr>
        <w:t xml:space="preserve"> was restrained from movement in the radial direction. </w:t>
      </w:r>
    </w:p>
    <w:p w14:paraId="229A4F83" w14:textId="2953A6F3" w:rsidR="00650E3B" w:rsidRPr="0092154C" w:rsidRDefault="00650E3B" w:rsidP="00826CB8">
      <w:pPr>
        <w:rPr>
          <w:rFonts w:cs="Arial"/>
        </w:rPr>
      </w:pPr>
      <w:r w:rsidRPr="0092154C">
        <w:rPr>
          <w:rFonts w:cs="Arial"/>
        </w:rPr>
        <w:t xml:space="preserve">Linear elastic material models were applied to each of the model components. The nucleus was assumed </w:t>
      </w:r>
      <w:r w:rsidR="00EB109A">
        <w:rPr>
          <w:rFonts w:cs="Arial"/>
        </w:rPr>
        <w:t>isotropic</w:t>
      </w:r>
      <w:r w:rsidR="008D7EB7">
        <w:rPr>
          <w:rFonts w:cs="Arial"/>
        </w:rPr>
        <w:t xml:space="preserve"> and </w:t>
      </w:r>
      <w:r w:rsidRPr="0092154C">
        <w:rPr>
          <w:rFonts w:cs="Arial"/>
        </w:rPr>
        <w:t xml:space="preserve">incompressible </w:t>
      </w:r>
      <w:r w:rsidR="00FE13C2">
        <w:rPr>
          <w:rFonts w:cs="Arial"/>
        </w:rPr>
        <w:t xml:space="preserve">with </w:t>
      </w:r>
      <w:r w:rsidR="00C25077">
        <w:rPr>
          <w:rFonts w:cs="Arial"/>
        </w:rPr>
        <w:t>E</w:t>
      </w:r>
      <w:r w:rsidR="008D7EB7">
        <w:rPr>
          <w:rFonts w:cs="Arial"/>
        </w:rPr>
        <w:t xml:space="preserve"> </w:t>
      </w:r>
      <w:r w:rsidR="00C25077">
        <w:rPr>
          <w:rFonts w:cs="Arial"/>
        </w:rPr>
        <w:t>=</w:t>
      </w:r>
      <w:r w:rsidR="008D7EB7">
        <w:rPr>
          <w:rFonts w:cs="Arial"/>
        </w:rPr>
        <w:t xml:space="preserve"> </w:t>
      </w:r>
      <w:r w:rsidR="00C25077">
        <w:rPr>
          <w:rFonts w:cs="Arial"/>
        </w:rPr>
        <w:t xml:space="preserve">1.5 MPa; the vertebral bodies were modelled </w:t>
      </w:r>
      <w:r w:rsidR="00EB109A">
        <w:rPr>
          <w:rFonts w:cs="Arial"/>
        </w:rPr>
        <w:t xml:space="preserve">as isotropic </w:t>
      </w:r>
      <w:r w:rsidR="00C25077">
        <w:rPr>
          <w:rFonts w:cs="Arial"/>
        </w:rPr>
        <w:t>with E = 100 MPa and</w:t>
      </w:r>
      <w:r w:rsidR="00C25077" w:rsidRPr="00C25077">
        <w:t xml:space="preserve"> </w:t>
      </w:r>
      <w:r w:rsidR="00C25077" w:rsidRPr="0092154C">
        <w:t>ν</w:t>
      </w:r>
      <w:r w:rsidR="008D7EB7">
        <w:t xml:space="preserve"> </w:t>
      </w:r>
      <w:r w:rsidR="00C25077">
        <w:t>=</w:t>
      </w:r>
      <w:r w:rsidR="008D7EB7">
        <w:t xml:space="preserve"> </w:t>
      </w:r>
      <w:r w:rsidR="00C25077">
        <w:t>0.2</w:t>
      </w:r>
      <w:r w:rsidRPr="0092154C">
        <w:rPr>
          <w:rFonts w:cs="Arial"/>
        </w:rPr>
        <w:t>.</w:t>
      </w:r>
      <w:r w:rsidR="00CE38CB">
        <w:rPr>
          <w:rFonts w:cs="Arial"/>
        </w:rPr>
        <w:t xml:space="preserve"> </w:t>
      </w:r>
      <w:r w:rsidRPr="0092154C">
        <w:rPr>
          <w:rFonts w:cs="Arial"/>
        </w:rPr>
        <w:t xml:space="preserve">The </w:t>
      </w:r>
      <w:r w:rsidR="00461162">
        <w:rPr>
          <w:rFonts w:cs="Arial"/>
        </w:rPr>
        <w:t>annulus was modelled as an orthotropic linear material</w:t>
      </w:r>
      <w:r w:rsidR="00F77F95">
        <w:rPr>
          <w:rFonts w:cs="Arial"/>
        </w:rPr>
        <w:t xml:space="preserve"> (</w:t>
      </w:r>
      <w:r w:rsidR="00CC0851">
        <w:rPr>
          <w:rFonts w:cs="Arial"/>
        </w:rPr>
        <w:t>T</w:t>
      </w:r>
      <w:r w:rsidR="00F77F95">
        <w:rPr>
          <w:rFonts w:cs="Arial"/>
        </w:rPr>
        <w:t>able 2).</w:t>
      </w:r>
    </w:p>
    <w:p w14:paraId="229A4FC9" w14:textId="234AF432" w:rsidR="00650E3B" w:rsidRDefault="00CE38CB" w:rsidP="00AB4330">
      <w:pPr>
        <w:pStyle w:val="Caption"/>
        <w:ind w:right="23"/>
        <w:rPr>
          <w:sz w:val="20"/>
          <w:szCs w:val="20"/>
        </w:rPr>
      </w:pPr>
      <w:bookmarkStart w:id="0" w:name="_Ref330922964"/>
      <w:r w:rsidRPr="00CE38CB">
        <w:rPr>
          <w:sz w:val="20"/>
          <w:szCs w:val="20"/>
        </w:rPr>
        <w:t xml:space="preserve"> </w:t>
      </w:r>
      <w:r w:rsidR="00650E3B" w:rsidRPr="00CE38CB">
        <w:rPr>
          <w:sz w:val="20"/>
          <w:szCs w:val="20"/>
        </w:rPr>
        <w:t xml:space="preserve">Table </w:t>
      </w:r>
      <w:bookmarkEnd w:id="0"/>
      <w:r w:rsidRPr="00CE38CB">
        <w:rPr>
          <w:sz w:val="20"/>
          <w:szCs w:val="20"/>
        </w:rPr>
        <w:t>2</w:t>
      </w:r>
      <w:r w:rsidR="00650E3B" w:rsidRPr="00CE38CB">
        <w:rPr>
          <w:sz w:val="20"/>
          <w:szCs w:val="20"/>
        </w:rPr>
        <w:t xml:space="preserve"> – Material properties derived for the orthotropic model of the annulus</w:t>
      </w:r>
    </w:p>
    <w:tbl>
      <w:tblPr>
        <w:tblStyle w:val="TableGrid"/>
        <w:tblW w:w="7933" w:type="dxa"/>
        <w:jc w:val="center"/>
        <w:tblLook w:val="04A0" w:firstRow="1" w:lastRow="0" w:firstColumn="1" w:lastColumn="0" w:noHBand="0" w:noVBand="1"/>
      </w:tblPr>
      <w:tblGrid>
        <w:gridCol w:w="1008"/>
        <w:gridCol w:w="761"/>
        <w:gridCol w:w="766"/>
        <w:gridCol w:w="839"/>
        <w:gridCol w:w="717"/>
        <w:gridCol w:w="717"/>
        <w:gridCol w:w="810"/>
        <w:gridCol w:w="761"/>
        <w:gridCol w:w="761"/>
        <w:gridCol w:w="793"/>
      </w:tblGrid>
      <w:tr w:rsidR="00B83C9C" w:rsidRPr="00B83C9C" w14:paraId="287670B8" w14:textId="77777777" w:rsidTr="00B83C9C">
        <w:trPr>
          <w:jc w:val="center"/>
        </w:trPr>
        <w:tc>
          <w:tcPr>
            <w:tcW w:w="1008" w:type="dxa"/>
          </w:tcPr>
          <w:p w14:paraId="76DD3DCA" w14:textId="77777777" w:rsidR="00B83C9C" w:rsidRPr="00B83C9C" w:rsidRDefault="00B83C9C" w:rsidP="00F77F95">
            <w:pPr>
              <w:spacing w:after="0"/>
              <w:rPr>
                <w:sz w:val="20"/>
                <w:szCs w:val="20"/>
              </w:rPr>
            </w:pPr>
          </w:p>
        </w:tc>
        <w:tc>
          <w:tcPr>
            <w:tcW w:w="761" w:type="dxa"/>
            <w:vAlign w:val="center"/>
          </w:tcPr>
          <w:p w14:paraId="7A9114E6" w14:textId="5788889C" w:rsidR="00B83C9C" w:rsidRPr="00B83C9C" w:rsidRDefault="00B83C9C" w:rsidP="00F77F95">
            <w:pPr>
              <w:spacing w:after="0"/>
              <w:rPr>
                <w:sz w:val="20"/>
                <w:szCs w:val="20"/>
              </w:rPr>
            </w:pPr>
            <w:r w:rsidRPr="00B83C9C">
              <w:rPr>
                <w:sz w:val="20"/>
                <w:szCs w:val="20"/>
              </w:rPr>
              <w:t>E</w:t>
            </w:r>
            <w:r w:rsidRPr="00B83C9C">
              <w:rPr>
                <w:sz w:val="20"/>
                <w:szCs w:val="20"/>
                <w:vertAlign w:val="subscript"/>
              </w:rPr>
              <w:t>r</w:t>
            </w:r>
            <w:r w:rsidRPr="00B83C9C">
              <w:rPr>
                <w:sz w:val="20"/>
                <w:szCs w:val="20"/>
              </w:rPr>
              <w:t xml:space="preserve"> (MPa)</w:t>
            </w:r>
          </w:p>
        </w:tc>
        <w:tc>
          <w:tcPr>
            <w:tcW w:w="766" w:type="dxa"/>
            <w:vAlign w:val="center"/>
          </w:tcPr>
          <w:p w14:paraId="1DBC5915" w14:textId="32107D6A" w:rsidR="00B83C9C" w:rsidRPr="00B83C9C" w:rsidRDefault="00B83C9C" w:rsidP="00F77F95">
            <w:pPr>
              <w:spacing w:after="0"/>
              <w:rPr>
                <w:sz w:val="20"/>
                <w:szCs w:val="20"/>
              </w:rPr>
            </w:pPr>
            <w:r w:rsidRPr="00B83C9C">
              <w:rPr>
                <w:sz w:val="20"/>
                <w:szCs w:val="20"/>
              </w:rPr>
              <w:t>E</w:t>
            </w:r>
            <w:r w:rsidRPr="00B83C9C">
              <w:rPr>
                <w:sz w:val="20"/>
                <w:szCs w:val="20"/>
                <w:vertAlign w:val="subscript"/>
              </w:rPr>
              <w:t>z</w:t>
            </w:r>
            <w:r w:rsidRPr="00B83C9C">
              <w:rPr>
                <w:sz w:val="20"/>
                <w:szCs w:val="20"/>
              </w:rPr>
              <w:t xml:space="preserve"> (MPa)</w:t>
            </w:r>
          </w:p>
        </w:tc>
        <w:tc>
          <w:tcPr>
            <w:tcW w:w="839" w:type="dxa"/>
            <w:vAlign w:val="center"/>
          </w:tcPr>
          <w:p w14:paraId="3F5E0199" w14:textId="2A0BFC3D" w:rsidR="00B83C9C" w:rsidRPr="00B83C9C" w:rsidRDefault="00B83C9C" w:rsidP="00F77F95">
            <w:pPr>
              <w:spacing w:after="0"/>
              <w:rPr>
                <w:sz w:val="20"/>
                <w:szCs w:val="20"/>
              </w:rPr>
            </w:pPr>
            <w:r w:rsidRPr="00B83C9C">
              <w:rPr>
                <w:sz w:val="20"/>
                <w:szCs w:val="20"/>
              </w:rPr>
              <w:t>E</w:t>
            </w:r>
            <w:r w:rsidRPr="00B83C9C">
              <w:rPr>
                <w:rFonts w:cs="Arial"/>
                <w:sz w:val="20"/>
                <w:szCs w:val="20"/>
                <w:vertAlign w:val="subscript"/>
              </w:rPr>
              <w:t>θ</w:t>
            </w:r>
            <w:r w:rsidRPr="00B83C9C">
              <w:rPr>
                <w:rFonts w:cs="Arial"/>
                <w:sz w:val="20"/>
                <w:szCs w:val="20"/>
              </w:rPr>
              <w:t xml:space="preserve"> (MPa)</w:t>
            </w:r>
          </w:p>
        </w:tc>
        <w:tc>
          <w:tcPr>
            <w:tcW w:w="717" w:type="dxa"/>
            <w:vAlign w:val="center"/>
          </w:tcPr>
          <w:p w14:paraId="5A43980B" w14:textId="35C90114" w:rsidR="00B83C9C" w:rsidRPr="00B83C9C" w:rsidRDefault="00B83C9C" w:rsidP="00F77F95">
            <w:pPr>
              <w:spacing w:after="0"/>
              <w:rPr>
                <w:sz w:val="20"/>
                <w:szCs w:val="20"/>
              </w:rPr>
            </w:pPr>
            <w:r w:rsidRPr="00B83C9C">
              <w:rPr>
                <w:rFonts w:cs="Arial"/>
                <w:sz w:val="20"/>
                <w:szCs w:val="20"/>
              </w:rPr>
              <w:t>ν</w:t>
            </w:r>
            <w:r w:rsidRPr="00B83C9C">
              <w:rPr>
                <w:sz w:val="20"/>
                <w:szCs w:val="20"/>
                <w:vertAlign w:val="subscript"/>
              </w:rPr>
              <w:t>rz</w:t>
            </w:r>
          </w:p>
        </w:tc>
        <w:tc>
          <w:tcPr>
            <w:tcW w:w="717" w:type="dxa"/>
            <w:vAlign w:val="center"/>
          </w:tcPr>
          <w:p w14:paraId="6E2CBA75" w14:textId="7B3B2804" w:rsidR="00B83C9C" w:rsidRPr="00B83C9C" w:rsidRDefault="00B83C9C" w:rsidP="00F77F95">
            <w:pPr>
              <w:spacing w:after="0"/>
              <w:rPr>
                <w:sz w:val="20"/>
                <w:szCs w:val="20"/>
              </w:rPr>
            </w:pPr>
            <w:r w:rsidRPr="00B83C9C">
              <w:rPr>
                <w:rFonts w:cs="Arial"/>
                <w:sz w:val="20"/>
                <w:szCs w:val="20"/>
              </w:rPr>
              <w:t>ν</w:t>
            </w:r>
            <w:r w:rsidRPr="00B83C9C">
              <w:rPr>
                <w:sz w:val="20"/>
                <w:szCs w:val="20"/>
                <w:vertAlign w:val="subscript"/>
              </w:rPr>
              <w:t>r</w:t>
            </w:r>
            <w:r w:rsidRPr="00B83C9C">
              <w:rPr>
                <w:rFonts w:cs="Arial"/>
                <w:sz w:val="20"/>
                <w:szCs w:val="20"/>
                <w:vertAlign w:val="subscript"/>
              </w:rPr>
              <w:t>θ</w:t>
            </w:r>
          </w:p>
        </w:tc>
        <w:tc>
          <w:tcPr>
            <w:tcW w:w="810" w:type="dxa"/>
            <w:vAlign w:val="center"/>
          </w:tcPr>
          <w:p w14:paraId="44F9F9E3" w14:textId="277B13CC" w:rsidR="00B83C9C" w:rsidRPr="00B83C9C" w:rsidRDefault="00B83C9C" w:rsidP="00F77F95">
            <w:pPr>
              <w:spacing w:after="0"/>
              <w:rPr>
                <w:sz w:val="20"/>
                <w:szCs w:val="20"/>
              </w:rPr>
            </w:pPr>
            <w:r w:rsidRPr="00B83C9C">
              <w:rPr>
                <w:rFonts w:cs="Arial"/>
                <w:sz w:val="20"/>
                <w:szCs w:val="20"/>
              </w:rPr>
              <w:t>ν</w:t>
            </w:r>
            <w:r w:rsidRPr="00B83C9C">
              <w:rPr>
                <w:sz w:val="20"/>
                <w:szCs w:val="20"/>
                <w:vertAlign w:val="subscript"/>
              </w:rPr>
              <w:t>z</w:t>
            </w:r>
            <w:r w:rsidRPr="00B83C9C">
              <w:rPr>
                <w:rFonts w:cs="Arial"/>
                <w:sz w:val="20"/>
                <w:szCs w:val="20"/>
                <w:vertAlign w:val="subscript"/>
              </w:rPr>
              <w:t>θ</w:t>
            </w:r>
          </w:p>
        </w:tc>
        <w:tc>
          <w:tcPr>
            <w:tcW w:w="761" w:type="dxa"/>
            <w:vAlign w:val="center"/>
          </w:tcPr>
          <w:p w14:paraId="44F45C25" w14:textId="37B333C7" w:rsidR="00B83C9C" w:rsidRPr="00B83C9C" w:rsidRDefault="00B83C9C" w:rsidP="00F77F95">
            <w:pPr>
              <w:spacing w:after="0"/>
              <w:rPr>
                <w:sz w:val="20"/>
                <w:szCs w:val="20"/>
              </w:rPr>
            </w:pPr>
            <w:r w:rsidRPr="00B83C9C">
              <w:rPr>
                <w:sz w:val="20"/>
                <w:szCs w:val="20"/>
              </w:rPr>
              <w:t>G</w:t>
            </w:r>
            <w:r w:rsidRPr="00B83C9C">
              <w:rPr>
                <w:sz w:val="20"/>
                <w:szCs w:val="20"/>
                <w:vertAlign w:val="subscript"/>
              </w:rPr>
              <w:t>rz</w:t>
            </w:r>
            <w:r w:rsidRPr="00B83C9C">
              <w:rPr>
                <w:sz w:val="20"/>
                <w:szCs w:val="20"/>
              </w:rPr>
              <w:t xml:space="preserve"> (MPa)</w:t>
            </w:r>
          </w:p>
        </w:tc>
        <w:tc>
          <w:tcPr>
            <w:tcW w:w="761" w:type="dxa"/>
            <w:vAlign w:val="center"/>
          </w:tcPr>
          <w:p w14:paraId="6D7FD9BF" w14:textId="70D63BBF" w:rsidR="00B83C9C" w:rsidRPr="00B83C9C" w:rsidRDefault="00B83C9C" w:rsidP="00F77F95">
            <w:pPr>
              <w:spacing w:after="0"/>
              <w:rPr>
                <w:sz w:val="20"/>
                <w:szCs w:val="20"/>
              </w:rPr>
            </w:pPr>
            <w:r w:rsidRPr="00B83C9C">
              <w:rPr>
                <w:sz w:val="20"/>
                <w:szCs w:val="20"/>
              </w:rPr>
              <w:t>G</w:t>
            </w:r>
            <w:r w:rsidRPr="00B83C9C">
              <w:rPr>
                <w:sz w:val="20"/>
                <w:szCs w:val="20"/>
                <w:vertAlign w:val="subscript"/>
              </w:rPr>
              <w:t>r</w:t>
            </w:r>
            <w:r w:rsidRPr="00B83C9C">
              <w:rPr>
                <w:rFonts w:cs="Arial"/>
                <w:sz w:val="20"/>
                <w:szCs w:val="20"/>
                <w:vertAlign w:val="subscript"/>
              </w:rPr>
              <w:t>θ</w:t>
            </w:r>
            <w:r w:rsidRPr="00B83C9C">
              <w:rPr>
                <w:rFonts w:cs="Arial"/>
                <w:sz w:val="20"/>
                <w:szCs w:val="20"/>
              </w:rPr>
              <w:t xml:space="preserve"> (MPa)</w:t>
            </w:r>
          </w:p>
        </w:tc>
        <w:tc>
          <w:tcPr>
            <w:tcW w:w="793" w:type="dxa"/>
            <w:vAlign w:val="center"/>
          </w:tcPr>
          <w:p w14:paraId="5CD15A36" w14:textId="65BF0226" w:rsidR="00B83C9C" w:rsidRPr="00B83C9C" w:rsidRDefault="00B83C9C" w:rsidP="00F77F95">
            <w:pPr>
              <w:spacing w:after="0"/>
              <w:rPr>
                <w:sz w:val="20"/>
                <w:szCs w:val="20"/>
              </w:rPr>
            </w:pPr>
            <w:r w:rsidRPr="00B83C9C">
              <w:rPr>
                <w:sz w:val="20"/>
                <w:szCs w:val="20"/>
              </w:rPr>
              <w:t>G</w:t>
            </w:r>
            <w:r w:rsidRPr="00B83C9C">
              <w:rPr>
                <w:sz w:val="20"/>
                <w:szCs w:val="20"/>
                <w:vertAlign w:val="subscript"/>
              </w:rPr>
              <w:t>z</w:t>
            </w:r>
            <w:r w:rsidRPr="00B83C9C">
              <w:rPr>
                <w:rFonts w:cs="Arial"/>
                <w:sz w:val="20"/>
                <w:szCs w:val="20"/>
                <w:vertAlign w:val="subscript"/>
              </w:rPr>
              <w:t>θ</w:t>
            </w:r>
            <w:r w:rsidRPr="00B83C9C">
              <w:rPr>
                <w:rFonts w:cs="Arial"/>
                <w:sz w:val="20"/>
                <w:szCs w:val="20"/>
              </w:rPr>
              <w:t xml:space="preserve"> (MPa)</w:t>
            </w:r>
          </w:p>
        </w:tc>
      </w:tr>
      <w:tr w:rsidR="00B83C9C" w:rsidRPr="00B83C9C" w14:paraId="561146A6" w14:textId="77777777" w:rsidTr="00B83C9C">
        <w:trPr>
          <w:jc w:val="center"/>
        </w:trPr>
        <w:tc>
          <w:tcPr>
            <w:tcW w:w="1008" w:type="dxa"/>
          </w:tcPr>
          <w:p w14:paraId="62CF0EE5" w14:textId="2F1C9BA2" w:rsidR="00B83C9C" w:rsidRPr="00B83C9C" w:rsidRDefault="00B83C9C" w:rsidP="00F77F95">
            <w:pPr>
              <w:spacing w:after="0"/>
              <w:rPr>
                <w:sz w:val="20"/>
                <w:szCs w:val="20"/>
              </w:rPr>
            </w:pPr>
            <w:r w:rsidRPr="00B83C9C">
              <w:rPr>
                <w:sz w:val="20"/>
                <w:szCs w:val="20"/>
              </w:rPr>
              <w:t>annulus</w:t>
            </w:r>
            <w:r>
              <w:rPr>
                <w:sz w:val="20"/>
                <w:szCs w:val="20"/>
              </w:rPr>
              <w:t xml:space="preserve"> fibrosus</w:t>
            </w:r>
          </w:p>
        </w:tc>
        <w:tc>
          <w:tcPr>
            <w:tcW w:w="761" w:type="dxa"/>
            <w:vAlign w:val="center"/>
          </w:tcPr>
          <w:p w14:paraId="3524B5D7" w14:textId="2BEDBA7D" w:rsidR="00B83C9C" w:rsidRPr="00B83C9C" w:rsidRDefault="00B83C9C" w:rsidP="00F77F95">
            <w:pPr>
              <w:spacing w:after="0"/>
              <w:rPr>
                <w:sz w:val="20"/>
                <w:szCs w:val="20"/>
              </w:rPr>
            </w:pPr>
            <w:r w:rsidRPr="00B83C9C">
              <w:rPr>
                <w:sz w:val="20"/>
                <w:szCs w:val="20"/>
              </w:rPr>
              <w:t>0.4</w:t>
            </w:r>
          </w:p>
        </w:tc>
        <w:tc>
          <w:tcPr>
            <w:tcW w:w="766" w:type="dxa"/>
            <w:vAlign w:val="center"/>
          </w:tcPr>
          <w:p w14:paraId="7C6FAED8" w14:textId="3DA824E6" w:rsidR="00B83C9C" w:rsidRPr="00B83C9C" w:rsidRDefault="00B83C9C" w:rsidP="00F77F95">
            <w:pPr>
              <w:spacing w:after="0"/>
              <w:rPr>
                <w:sz w:val="20"/>
                <w:szCs w:val="20"/>
              </w:rPr>
            </w:pPr>
            <w:r w:rsidRPr="00B83C9C">
              <w:rPr>
                <w:sz w:val="20"/>
                <w:szCs w:val="20"/>
              </w:rPr>
              <w:t>70</w:t>
            </w:r>
          </w:p>
        </w:tc>
        <w:tc>
          <w:tcPr>
            <w:tcW w:w="839" w:type="dxa"/>
            <w:vAlign w:val="center"/>
          </w:tcPr>
          <w:p w14:paraId="0C50941C" w14:textId="28D87AA4" w:rsidR="00B83C9C" w:rsidRPr="00B83C9C" w:rsidRDefault="00B83C9C" w:rsidP="00F77F95">
            <w:pPr>
              <w:spacing w:after="0"/>
              <w:rPr>
                <w:sz w:val="20"/>
                <w:szCs w:val="20"/>
              </w:rPr>
            </w:pPr>
            <w:r w:rsidRPr="00B83C9C">
              <w:rPr>
                <w:sz w:val="20"/>
                <w:szCs w:val="20"/>
              </w:rPr>
              <w:t>16</w:t>
            </w:r>
          </w:p>
        </w:tc>
        <w:tc>
          <w:tcPr>
            <w:tcW w:w="717" w:type="dxa"/>
            <w:vAlign w:val="center"/>
          </w:tcPr>
          <w:p w14:paraId="19C16D4B" w14:textId="6BC25E11" w:rsidR="00B83C9C" w:rsidRPr="00B83C9C" w:rsidRDefault="00B83C9C" w:rsidP="00F77F95">
            <w:pPr>
              <w:spacing w:after="0"/>
              <w:rPr>
                <w:sz w:val="20"/>
                <w:szCs w:val="20"/>
              </w:rPr>
            </w:pPr>
            <w:r w:rsidRPr="00B83C9C">
              <w:rPr>
                <w:sz w:val="20"/>
                <w:szCs w:val="20"/>
              </w:rPr>
              <w:t>0.023</w:t>
            </w:r>
          </w:p>
        </w:tc>
        <w:tc>
          <w:tcPr>
            <w:tcW w:w="717" w:type="dxa"/>
            <w:vAlign w:val="center"/>
          </w:tcPr>
          <w:p w14:paraId="2C8AA11A" w14:textId="1A9FB275" w:rsidR="00B83C9C" w:rsidRPr="00B83C9C" w:rsidRDefault="00B83C9C" w:rsidP="00F77F95">
            <w:pPr>
              <w:spacing w:after="0"/>
              <w:rPr>
                <w:sz w:val="20"/>
                <w:szCs w:val="20"/>
              </w:rPr>
            </w:pPr>
            <w:r w:rsidRPr="00B83C9C">
              <w:rPr>
                <w:sz w:val="20"/>
                <w:szCs w:val="20"/>
              </w:rPr>
              <w:t>0.075</w:t>
            </w:r>
          </w:p>
        </w:tc>
        <w:tc>
          <w:tcPr>
            <w:tcW w:w="810" w:type="dxa"/>
            <w:vAlign w:val="center"/>
          </w:tcPr>
          <w:p w14:paraId="5D532787" w14:textId="7B8DE4C7" w:rsidR="00B83C9C" w:rsidRPr="00B83C9C" w:rsidRDefault="00B83C9C" w:rsidP="00F77F95">
            <w:pPr>
              <w:spacing w:after="0"/>
              <w:rPr>
                <w:sz w:val="20"/>
                <w:szCs w:val="20"/>
              </w:rPr>
            </w:pPr>
            <w:r w:rsidRPr="00B83C9C">
              <w:rPr>
                <w:sz w:val="20"/>
                <w:szCs w:val="20"/>
              </w:rPr>
              <w:t>1.38</w:t>
            </w:r>
          </w:p>
        </w:tc>
        <w:tc>
          <w:tcPr>
            <w:tcW w:w="761" w:type="dxa"/>
            <w:vAlign w:val="center"/>
          </w:tcPr>
          <w:p w14:paraId="5A205203" w14:textId="0D8EA1EE" w:rsidR="00B83C9C" w:rsidRPr="00B83C9C" w:rsidRDefault="00B83C9C" w:rsidP="00F77F95">
            <w:pPr>
              <w:spacing w:after="0"/>
              <w:rPr>
                <w:sz w:val="20"/>
                <w:szCs w:val="20"/>
              </w:rPr>
            </w:pPr>
            <w:r w:rsidRPr="00B83C9C">
              <w:rPr>
                <w:sz w:val="20"/>
                <w:szCs w:val="20"/>
              </w:rPr>
              <w:t>0.1</w:t>
            </w:r>
          </w:p>
        </w:tc>
        <w:tc>
          <w:tcPr>
            <w:tcW w:w="761" w:type="dxa"/>
            <w:vAlign w:val="center"/>
          </w:tcPr>
          <w:p w14:paraId="24F7337B" w14:textId="33E6CFD9" w:rsidR="00B83C9C" w:rsidRPr="00B83C9C" w:rsidRDefault="00B83C9C" w:rsidP="00F77F95">
            <w:pPr>
              <w:spacing w:after="0"/>
              <w:rPr>
                <w:sz w:val="20"/>
                <w:szCs w:val="20"/>
              </w:rPr>
            </w:pPr>
            <w:r w:rsidRPr="00B83C9C">
              <w:rPr>
                <w:sz w:val="20"/>
                <w:szCs w:val="20"/>
              </w:rPr>
              <w:t>0.1</w:t>
            </w:r>
          </w:p>
        </w:tc>
        <w:tc>
          <w:tcPr>
            <w:tcW w:w="793" w:type="dxa"/>
            <w:vAlign w:val="center"/>
          </w:tcPr>
          <w:p w14:paraId="3A7EA8DC" w14:textId="38C08E00" w:rsidR="00B83C9C" w:rsidRPr="00B83C9C" w:rsidRDefault="00B83C9C" w:rsidP="00F77F95">
            <w:pPr>
              <w:spacing w:after="0"/>
              <w:rPr>
                <w:sz w:val="20"/>
                <w:szCs w:val="20"/>
              </w:rPr>
            </w:pPr>
            <w:r w:rsidRPr="00B83C9C">
              <w:rPr>
                <w:sz w:val="20"/>
                <w:szCs w:val="20"/>
              </w:rPr>
              <w:t>0.1</w:t>
            </w:r>
          </w:p>
        </w:tc>
      </w:tr>
    </w:tbl>
    <w:p w14:paraId="0D86DA4A" w14:textId="77777777" w:rsidR="00204665" w:rsidRPr="00204665" w:rsidRDefault="00204665" w:rsidP="00204665">
      <w:pPr>
        <w:rPr>
          <w:lang w:bidi="en-US"/>
        </w:rPr>
      </w:pPr>
    </w:p>
    <w:p w14:paraId="229A4FE7" w14:textId="52AF694D" w:rsidR="00650E3B" w:rsidRDefault="00650E3B" w:rsidP="00674DC7">
      <w:pPr>
        <w:rPr>
          <w:rFonts w:cs="Arial"/>
        </w:rPr>
      </w:pPr>
      <w:bookmarkStart w:id="1" w:name="_Ref320657907"/>
      <w:r w:rsidRPr="0092154C">
        <w:rPr>
          <w:rFonts w:cs="Arial"/>
        </w:rPr>
        <w:t xml:space="preserve">The model was meshed </w:t>
      </w:r>
      <w:r w:rsidR="006265EC">
        <w:rPr>
          <w:rFonts w:cs="Arial"/>
        </w:rPr>
        <w:t xml:space="preserve">with </w:t>
      </w:r>
      <w:r w:rsidR="00CB19A3">
        <w:rPr>
          <w:rFonts w:cs="Arial"/>
        </w:rPr>
        <w:t xml:space="preserve">a mix of </w:t>
      </w:r>
      <w:r w:rsidR="00640FF2">
        <w:rPr>
          <w:rFonts w:cs="Arial"/>
        </w:rPr>
        <w:t xml:space="preserve">tetrahedral and </w:t>
      </w:r>
      <w:r w:rsidRPr="0092154C">
        <w:rPr>
          <w:rFonts w:cs="Arial"/>
        </w:rPr>
        <w:t>hexahedral elements. Hybrid element formulation was applied to the elements of the nucleus to better represent the fully incompressible behaviour of the tissue</w:t>
      </w:r>
      <w:r w:rsidR="00674DC7">
        <w:rPr>
          <w:rFonts w:cs="Arial"/>
        </w:rPr>
        <w:t>.</w:t>
      </w:r>
      <w:r w:rsidR="0050076C">
        <w:rPr>
          <w:rFonts w:cs="Arial"/>
        </w:rPr>
        <w:t xml:space="preserve"> A m</w:t>
      </w:r>
      <w:r w:rsidRPr="0092154C">
        <w:rPr>
          <w:rFonts w:cs="Arial"/>
        </w:rPr>
        <w:t>esh sensitivity analys</w:t>
      </w:r>
      <w:r w:rsidR="0050076C">
        <w:rPr>
          <w:rFonts w:cs="Arial"/>
        </w:rPr>
        <w:t>i</w:t>
      </w:r>
      <w:r w:rsidRPr="0092154C">
        <w:rPr>
          <w:rFonts w:cs="Arial"/>
        </w:rPr>
        <w:t>s w</w:t>
      </w:r>
      <w:r w:rsidR="0050076C">
        <w:rPr>
          <w:rFonts w:cs="Arial"/>
        </w:rPr>
        <w:t xml:space="preserve">as </w:t>
      </w:r>
      <w:r w:rsidRPr="0092154C">
        <w:rPr>
          <w:rFonts w:cs="Arial"/>
        </w:rPr>
        <w:t xml:space="preserve">conducted to assess the potential error encountered from mesh deficiencies </w:t>
      </w:r>
      <w:r w:rsidR="0050076C">
        <w:rPr>
          <w:rFonts w:cs="Arial"/>
        </w:rPr>
        <w:t>on the values of interest (apparent stiffness, inner and outer annulus bulge values). Given the symmetry of the model, only the maximum (axially centred) value of bulge was extracted</w:t>
      </w:r>
      <w:r w:rsidR="0004640F">
        <w:rPr>
          <w:rFonts w:cs="Arial"/>
        </w:rPr>
        <w:t>.</w:t>
      </w:r>
    </w:p>
    <w:p w14:paraId="554908E2" w14:textId="77777777" w:rsidR="00CC0851" w:rsidRDefault="00CC0851">
      <w:pPr>
        <w:spacing w:after="200" w:line="276" w:lineRule="auto"/>
        <w:rPr>
          <w:rFonts w:eastAsiaTheme="majorEastAsia" w:cstheme="majorBidi"/>
          <w:b/>
          <w:bCs/>
          <w:iCs/>
          <w:smallCaps/>
          <w:sz w:val="24"/>
          <w:lang w:bidi="en-US"/>
        </w:rPr>
      </w:pPr>
      <w:r>
        <w:br w:type="page"/>
      </w:r>
    </w:p>
    <w:p w14:paraId="3CB59F10" w14:textId="4132CF57" w:rsidR="005D40F4" w:rsidRDefault="005D40F4" w:rsidP="005D40F4">
      <w:pPr>
        <w:pStyle w:val="Heading4"/>
      </w:pPr>
      <w:r>
        <w:lastRenderedPageBreak/>
        <w:t>Results</w:t>
      </w:r>
    </w:p>
    <w:p w14:paraId="229A4FE8" w14:textId="1E101E7A" w:rsidR="00650E3B" w:rsidRPr="0092154C" w:rsidRDefault="00BC7D9C" w:rsidP="00D654CA">
      <w:pPr>
        <w:rPr>
          <w:rFonts w:cs="Arial"/>
        </w:rPr>
      </w:pPr>
      <w:r>
        <w:rPr>
          <w:lang w:bidi="en-US"/>
        </w:rPr>
        <w:t>The three outputs of interest reach</w:t>
      </w:r>
      <w:r w:rsidR="00D654CA">
        <w:rPr>
          <w:lang w:bidi="en-US"/>
        </w:rPr>
        <w:t>ed</w:t>
      </w:r>
      <w:r>
        <w:rPr>
          <w:lang w:bidi="en-US"/>
        </w:rPr>
        <w:t xml:space="preserve"> convergence for a similar mesh size, of about 57 000 elements</w:t>
      </w:r>
      <w:r w:rsidR="00F77F95">
        <w:rPr>
          <w:lang w:bidi="en-US"/>
        </w:rPr>
        <w:t xml:space="preserve"> (Figure </w:t>
      </w:r>
      <w:r w:rsidR="00CC0851">
        <w:rPr>
          <w:lang w:bidi="en-US"/>
        </w:rPr>
        <w:t>2</w:t>
      </w:r>
      <w:r w:rsidR="00F77F95">
        <w:rPr>
          <w:lang w:bidi="en-US"/>
        </w:rPr>
        <w:t>)</w:t>
      </w:r>
      <w:r>
        <w:rPr>
          <w:lang w:bidi="en-US"/>
        </w:rPr>
        <w:t>.</w:t>
      </w:r>
    </w:p>
    <w:p w14:paraId="2AB62205" w14:textId="77777777" w:rsidR="00F77F95" w:rsidRDefault="00F77F95" w:rsidP="00F77F95">
      <w:pPr>
        <w:pStyle w:val="Caption"/>
        <w:keepNext/>
      </w:pPr>
      <w:r>
        <w:rPr>
          <w:noProof/>
          <w:sz w:val="20"/>
          <w:szCs w:val="20"/>
        </w:rPr>
        <w:drawing>
          <wp:inline distT="0" distB="0" distL="0" distR="0" wp14:anchorId="73D92E68" wp14:editId="2EB9FE4E">
            <wp:extent cx="3706495" cy="2493645"/>
            <wp:effectExtent l="0" t="0" r="8255" b="1905"/>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06495" cy="2493645"/>
                    </a:xfrm>
                    <a:prstGeom prst="rect">
                      <a:avLst/>
                    </a:prstGeom>
                    <a:noFill/>
                  </pic:spPr>
                </pic:pic>
              </a:graphicData>
            </a:graphic>
          </wp:inline>
        </w:drawing>
      </w:r>
    </w:p>
    <w:p w14:paraId="70A86780" w14:textId="256830DE" w:rsidR="00F77F95" w:rsidRPr="00F77F95" w:rsidRDefault="00F77F95" w:rsidP="00F77F95">
      <w:pPr>
        <w:pStyle w:val="Caption"/>
        <w:rPr>
          <w:sz w:val="22"/>
          <w:szCs w:val="22"/>
        </w:rPr>
      </w:pPr>
      <w:r w:rsidRPr="00F77F95">
        <w:rPr>
          <w:sz w:val="20"/>
          <w:szCs w:val="20"/>
        </w:rPr>
        <w:t xml:space="preserve">Figure </w:t>
      </w:r>
      <w:r w:rsidRPr="00F77F95">
        <w:rPr>
          <w:sz w:val="20"/>
          <w:szCs w:val="20"/>
        </w:rPr>
        <w:fldChar w:fldCharType="begin"/>
      </w:r>
      <w:r w:rsidRPr="00F77F95">
        <w:rPr>
          <w:sz w:val="20"/>
          <w:szCs w:val="20"/>
        </w:rPr>
        <w:instrText xml:space="preserve"> SEQ Figure \* ARABIC </w:instrText>
      </w:r>
      <w:r w:rsidRPr="00F77F95">
        <w:rPr>
          <w:sz w:val="20"/>
          <w:szCs w:val="20"/>
        </w:rPr>
        <w:fldChar w:fldCharType="separate"/>
      </w:r>
      <w:r w:rsidR="00755B6A">
        <w:rPr>
          <w:noProof/>
          <w:sz w:val="20"/>
          <w:szCs w:val="20"/>
        </w:rPr>
        <w:t>2</w:t>
      </w:r>
      <w:r w:rsidRPr="00F77F95">
        <w:rPr>
          <w:sz w:val="20"/>
          <w:szCs w:val="20"/>
        </w:rPr>
        <w:fldChar w:fldCharType="end"/>
      </w:r>
      <w:r w:rsidRPr="00F77F95">
        <w:rPr>
          <w:sz w:val="20"/>
          <w:szCs w:val="20"/>
        </w:rPr>
        <w:t>: Mesh sensitivity analysis (OAF: outer annulus fibrosus; IAF: inner annulus fibrosus).</w:t>
      </w:r>
    </w:p>
    <w:bookmarkEnd w:id="1"/>
    <w:p w14:paraId="108943DA" w14:textId="77777777" w:rsidR="00BC7D9C" w:rsidRDefault="00BC7D9C" w:rsidP="001C0623">
      <w:pPr>
        <w:pStyle w:val="Heading4"/>
      </w:pPr>
    </w:p>
    <w:p w14:paraId="099BF0F1" w14:textId="62D495F2" w:rsidR="00C1661A" w:rsidRDefault="005D40F4" w:rsidP="001C0623">
      <w:pPr>
        <w:pStyle w:val="Heading4"/>
      </w:pPr>
      <w:r>
        <w:t>Discussion with resp</w:t>
      </w:r>
      <w:r w:rsidR="001C0623">
        <w:t>e</w:t>
      </w:r>
      <w:r>
        <w:t xml:space="preserve">ct to </w:t>
      </w:r>
      <w:r w:rsidR="005D2CF6">
        <w:t>“</w:t>
      </w:r>
      <w:r w:rsidR="005D2CF6" w:rsidRPr="005D2CF6">
        <w:t>Experimental and computational comparison of intervertebral disc bulge for specimen-specific model evaluation based on imaging</w:t>
      </w:r>
      <w:r w:rsidR="005D2CF6">
        <w:t>” (</w:t>
      </w:r>
      <w:r>
        <w:t>Mengoni et al</w:t>
      </w:r>
      <w:r w:rsidR="00872F14">
        <w:t>.</w:t>
      </w:r>
      <w:r w:rsidR="005D2CF6">
        <w:t>)</w:t>
      </w:r>
    </w:p>
    <w:p w14:paraId="2F12D06F" w14:textId="7C56F0B9" w:rsidR="00E81BE5" w:rsidRDefault="00E81BE5" w:rsidP="00E81BE5">
      <w:pPr>
        <w:rPr>
          <w:lang w:bidi="en-US"/>
        </w:rPr>
      </w:pPr>
      <w:r>
        <w:rPr>
          <w:lang w:bidi="en-US"/>
        </w:rPr>
        <w:t>The mode</w:t>
      </w:r>
      <w:r w:rsidR="00312C78">
        <w:rPr>
          <w:lang w:bidi="en-US"/>
        </w:rPr>
        <w:t>l</w:t>
      </w:r>
      <w:r>
        <w:rPr>
          <w:lang w:bidi="en-US"/>
        </w:rPr>
        <w:t xml:space="preserve"> in this idealised mesh convergence study has some similarities </w:t>
      </w:r>
      <w:r w:rsidR="0031680F">
        <w:rPr>
          <w:lang w:bidi="en-US"/>
        </w:rPr>
        <w:t xml:space="preserve">and differences </w:t>
      </w:r>
      <w:r>
        <w:rPr>
          <w:lang w:bidi="en-US"/>
        </w:rPr>
        <w:t>with that of Mengoni et al.</w:t>
      </w:r>
      <w:r w:rsidR="0031680F">
        <w:rPr>
          <w:lang w:bidi="en-US"/>
        </w:rPr>
        <w:t xml:space="preserve"> which uses an average of 1</w:t>
      </w:r>
      <w:r w:rsidR="00DE5A72">
        <w:rPr>
          <w:lang w:bidi="en-US"/>
        </w:rPr>
        <w:t>.15</w:t>
      </w:r>
      <w:r w:rsidR="0031680F">
        <w:rPr>
          <w:lang w:bidi="en-US"/>
        </w:rPr>
        <w:t>M</w:t>
      </w:r>
      <w:r w:rsidR="000E58BD">
        <w:rPr>
          <w:lang w:bidi="en-US"/>
        </w:rPr>
        <w:t xml:space="preserve"> tetrahedral</w:t>
      </w:r>
      <w:r w:rsidR="0031680F">
        <w:rPr>
          <w:lang w:bidi="en-US"/>
        </w:rPr>
        <w:t xml:space="preserve"> elements</w:t>
      </w:r>
      <w:r w:rsidR="004C74C1">
        <w:rPr>
          <w:lang w:bidi="en-US"/>
        </w:rPr>
        <w:t xml:space="preserve"> </w:t>
      </w:r>
      <w:r w:rsidR="00F737D6">
        <w:rPr>
          <w:lang w:bidi="en-US"/>
        </w:rPr>
        <w:t xml:space="preserve">(i.e. about </w:t>
      </w:r>
      <w:r w:rsidR="008B6F3A">
        <w:rPr>
          <w:lang w:bidi="en-US"/>
        </w:rPr>
        <w:t>20</w:t>
      </w:r>
      <w:r w:rsidR="00805C3D">
        <w:rPr>
          <w:lang w:bidi="en-US"/>
        </w:rPr>
        <w:t xml:space="preserve"> times more</w:t>
      </w:r>
      <w:r w:rsidR="00D4265A">
        <w:rPr>
          <w:lang w:bidi="en-US"/>
        </w:rPr>
        <w:t xml:space="preserve"> elements</w:t>
      </w:r>
      <w:r w:rsidR="00805C3D">
        <w:rPr>
          <w:lang w:bidi="en-US"/>
        </w:rPr>
        <w:t xml:space="preserve"> than </w:t>
      </w:r>
      <w:r w:rsidR="00D920CC">
        <w:rPr>
          <w:lang w:bidi="en-US"/>
        </w:rPr>
        <w:t>the converged mesh in this study</w:t>
      </w:r>
      <w:r w:rsidR="00F737D6">
        <w:rPr>
          <w:lang w:bidi="en-US"/>
        </w:rPr>
        <w:t>)</w:t>
      </w:r>
      <w:r w:rsidR="004C74C1">
        <w:rPr>
          <w:lang w:bidi="en-US"/>
        </w:rPr>
        <w:t>.</w:t>
      </w:r>
    </w:p>
    <w:p w14:paraId="3474ED97" w14:textId="7A4477F1" w:rsidR="00FC3C21" w:rsidRDefault="00FC3C21" w:rsidP="00FC3C21">
      <w:pPr>
        <w:rPr>
          <w:lang w:bidi="en-US"/>
        </w:rPr>
      </w:pPr>
      <w:r>
        <w:rPr>
          <w:lang w:bidi="en-US"/>
        </w:rPr>
        <w:t>In terms of the material models, both approaches consider a pure elastic behaviour of each tissue. While the material models are linear in this mesh study and non-linear in Mengoni et al., the apparent stiffness in the current study is larger than the max apparent stiffness in Mengoni et al. (as the human tissue is stiffer than the bovine one). The softer model in Mengoni et al. is likely to require more elements than the number of elements used in this study.</w:t>
      </w:r>
      <w:r w:rsidRPr="00807FBE">
        <w:rPr>
          <w:lang w:bidi="en-US"/>
        </w:rPr>
        <w:t xml:space="preserve"> </w:t>
      </w:r>
      <w:r>
        <w:rPr>
          <w:lang w:bidi="en-US"/>
        </w:rPr>
        <w:t>The model in this study however demonstrates bulge values of a similar order of magnitude than the max values obtained in Mengoni et al. (average max bulge of 1.2 mm), the finer mesh used in Mengoni et al</w:t>
      </w:r>
      <w:r w:rsidR="00097BFA">
        <w:rPr>
          <w:lang w:bidi="en-US"/>
        </w:rPr>
        <w:t>.</w:t>
      </w:r>
      <w:r>
        <w:rPr>
          <w:lang w:bidi="en-US"/>
        </w:rPr>
        <w:t xml:space="preserve"> should be able to capture this level of deformation.</w:t>
      </w:r>
    </w:p>
    <w:p w14:paraId="581E7F3F" w14:textId="50A9D38D" w:rsidR="00D4265A" w:rsidRDefault="00D4265A" w:rsidP="00D4265A">
      <w:pPr>
        <w:rPr>
          <w:lang w:bidi="en-US"/>
        </w:rPr>
      </w:pPr>
      <w:r>
        <w:rPr>
          <w:lang w:bidi="en-US"/>
        </w:rPr>
        <w:t>The model in this mesh study is purely circular with dimensions larger than those of the bovine bone-disc-bone models in Mengoni et al</w:t>
      </w:r>
      <w:r w:rsidR="0029621B">
        <w:rPr>
          <w:lang w:bidi="en-US"/>
        </w:rPr>
        <w:t>.</w:t>
      </w:r>
      <w:r>
        <w:rPr>
          <w:lang w:bidi="en-US"/>
        </w:rPr>
        <w:t xml:space="preserve"> (average </w:t>
      </w:r>
      <w:r w:rsidR="002944B8">
        <w:rPr>
          <w:lang w:bidi="en-US"/>
        </w:rPr>
        <w:t xml:space="preserve">bovine </w:t>
      </w:r>
      <w:r w:rsidR="005F7ED8">
        <w:rPr>
          <w:lang w:bidi="en-US"/>
        </w:rPr>
        <w:t>disc volume</w:t>
      </w:r>
      <w:r w:rsidR="00EC69F7">
        <w:rPr>
          <w:lang w:bidi="en-US"/>
        </w:rPr>
        <w:t xml:space="preserve"> measured on images</w:t>
      </w:r>
      <w:r w:rsidR="005F7ED8">
        <w:rPr>
          <w:lang w:bidi="en-US"/>
        </w:rPr>
        <w:t xml:space="preserve"> of 2475 mm</w:t>
      </w:r>
      <w:r w:rsidR="00421DDB">
        <w:rPr>
          <w:vertAlign w:val="superscript"/>
          <w:lang w:bidi="en-US"/>
        </w:rPr>
        <w:t>3</w:t>
      </w:r>
      <w:r w:rsidR="005F7ED8" w:rsidRPr="002944B8">
        <w:rPr>
          <w:vertAlign w:val="superscript"/>
          <w:lang w:bidi="en-US"/>
        </w:rPr>
        <w:t xml:space="preserve"> </w:t>
      </w:r>
      <w:r w:rsidR="005F7ED8">
        <w:rPr>
          <w:lang w:bidi="en-US"/>
        </w:rPr>
        <w:t xml:space="preserve">compared to </w:t>
      </w:r>
      <w:r w:rsidR="002944B8">
        <w:rPr>
          <w:lang w:bidi="en-US"/>
        </w:rPr>
        <w:t>21700 mm</w:t>
      </w:r>
      <w:r w:rsidR="00421DDB">
        <w:rPr>
          <w:vertAlign w:val="superscript"/>
          <w:lang w:bidi="en-US"/>
        </w:rPr>
        <w:t>3</w:t>
      </w:r>
      <w:r w:rsidR="002944B8">
        <w:rPr>
          <w:lang w:bidi="en-US"/>
        </w:rPr>
        <w:t xml:space="preserve"> here</w:t>
      </w:r>
      <w:r>
        <w:rPr>
          <w:lang w:bidi="en-US"/>
        </w:rPr>
        <w:t xml:space="preserve">). </w:t>
      </w:r>
      <w:r w:rsidR="00117DCE">
        <w:rPr>
          <w:lang w:bidi="en-US"/>
        </w:rPr>
        <w:t xml:space="preserve">The </w:t>
      </w:r>
      <w:r w:rsidR="00CD2CE6">
        <w:rPr>
          <w:lang w:bidi="en-US"/>
        </w:rPr>
        <w:t>disc</w:t>
      </w:r>
      <w:r w:rsidR="00117DCE">
        <w:rPr>
          <w:lang w:bidi="en-US"/>
        </w:rPr>
        <w:t xml:space="preserve"> in this study </w:t>
      </w:r>
      <w:r w:rsidR="00CD2CE6">
        <w:rPr>
          <w:lang w:bidi="en-US"/>
        </w:rPr>
        <w:t xml:space="preserve">is therefore </w:t>
      </w:r>
      <w:r w:rsidR="003F419B">
        <w:rPr>
          <w:lang w:bidi="en-US"/>
        </w:rPr>
        <w:t>about 9</w:t>
      </w:r>
      <w:r w:rsidR="00CD2CE6">
        <w:rPr>
          <w:lang w:bidi="en-US"/>
        </w:rPr>
        <w:t xml:space="preserve"> times larger than those in Mengoni et al.</w:t>
      </w:r>
      <w:r w:rsidR="00644A39">
        <w:rPr>
          <w:lang w:bidi="en-US"/>
        </w:rPr>
        <w:t xml:space="preserve"> </w:t>
      </w:r>
      <w:r>
        <w:rPr>
          <w:lang w:bidi="en-US"/>
        </w:rPr>
        <w:t>The model in this study is composed mainly of hexahedral elements, it requires less elements of a similar size than a model composed of tetrahedral elements.</w:t>
      </w:r>
    </w:p>
    <w:p w14:paraId="4515A292" w14:textId="654BC997" w:rsidR="00872F14" w:rsidRDefault="00872F14" w:rsidP="00E81BE5">
      <w:pPr>
        <w:rPr>
          <w:lang w:bidi="en-US"/>
        </w:rPr>
      </w:pPr>
      <w:r>
        <w:rPr>
          <w:lang w:bidi="en-US"/>
        </w:rPr>
        <w:t>In conclusion, the mesh size used in Mengoni et al. for a softer material model is likely to be appropriate to capture bulge values</w:t>
      </w:r>
      <w:r w:rsidR="00644A39">
        <w:rPr>
          <w:lang w:bidi="en-US"/>
        </w:rPr>
        <w:t xml:space="preserve"> </w:t>
      </w:r>
      <w:r w:rsidR="007F18CD">
        <w:rPr>
          <w:lang w:bidi="en-US"/>
        </w:rPr>
        <w:t xml:space="preserve">of similar magnitude </w:t>
      </w:r>
      <w:r w:rsidR="00644A39">
        <w:rPr>
          <w:lang w:bidi="en-US"/>
        </w:rPr>
        <w:t xml:space="preserve">as the model is 9 times smaller but contains </w:t>
      </w:r>
      <w:r w:rsidR="008B6F3A">
        <w:rPr>
          <w:lang w:bidi="en-US"/>
        </w:rPr>
        <w:t>20</w:t>
      </w:r>
      <w:r w:rsidR="00644A39">
        <w:rPr>
          <w:lang w:bidi="en-US"/>
        </w:rPr>
        <w:t xml:space="preserve"> times more elements</w:t>
      </w:r>
      <w:r w:rsidR="00D4265A">
        <w:rPr>
          <w:lang w:bidi="en-US"/>
        </w:rPr>
        <w:t>.</w:t>
      </w:r>
    </w:p>
    <w:p w14:paraId="23F10139" w14:textId="77777777" w:rsidR="00807FBE" w:rsidRPr="00E81BE5" w:rsidRDefault="00807FBE">
      <w:pPr>
        <w:rPr>
          <w:lang w:bidi="en-US"/>
        </w:rPr>
      </w:pPr>
    </w:p>
    <w:sectPr w:rsidR="00807FBE" w:rsidRPr="00E81BE5" w:rsidSect="006E261B">
      <w:footerReference w:type="default" r:id="rId9"/>
      <w:footerReference w:type="first" r:id="rId10"/>
      <w:pgSz w:w="11906" w:h="16838"/>
      <w:pgMar w:top="1440" w:right="1335" w:bottom="1440" w:left="13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83BC3C" w14:textId="77777777" w:rsidR="00DE73DA" w:rsidRDefault="00DE73DA" w:rsidP="005B5BC6">
      <w:pPr>
        <w:spacing w:after="0"/>
      </w:pPr>
      <w:r>
        <w:separator/>
      </w:r>
    </w:p>
  </w:endnote>
  <w:endnote w:type="continuationSeparator" w:id="0">
    <w:p w14:paraId="6D1009BB" w14:textId="77777777" w:rsidR="00DE73DA" w:rsidRDefault="00DE73DA" w:rsidP="005B5BC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5FD14" w14:textId="13D02254" w:rsidR="006E261B" w:rsidRDefault="006E261B">
    <w:pPr>
      <w:pStyle w:val="Footer"/>
    </w:pPr>
    <w:r>
      <w:t xml:space="preserve">Supplementary material to </w:t>
    </w:r>
    <w:r w:rsidRPr="006E261B">
      <w:t>“</w:t>
    </w:r>
    <w:r>
      <w:t>E</w:t>
    </w:r>
    <w:r w:rsidRPr="006E261B">
      <w:t>xperimental and computational comparison of intervertebral disc bulge for specimen-specific model evaluation based on imaging” (</w:t>
    </w:r>
    <w:r>
      <w:t>M</w:t>
    </w:r>
    <w:r w:rsidRPr="006E261B">
      <w:t>engoni et al.)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26EE4" w14:textId="0E5B0B8C" w:rsidR="006E261B" w:rsidRDefault="006E261B">
    <w:pPr>
      <w:pStyle w:val="Footer"/>
    </w:pPr>
    <w:r>
      <w:t xml:space="preserve">Supplementary material to </w:t>
    </w:r>
    <w:r w:rsidRPr="006E261B">
      <w:t>“</w:t>
    </w:r>
    <w:r>
      <w:t>E</w:t>
    </w:r>
    <w:r w:rsidRPr="006E261B">
      <w:t>xperimental and computational comparison of intervertebral disc bulge for specimen-specific model evaluation based on imaging” (</w:t>
    </w:r>
    <w:r>
      <w:t>M</w:t>
    </w:r>
    <w:r w:rsidRPr="006E261B">
      <w:t>engoni et 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E23A4B" w14:textId="77777777" w:rsidR="00DE73DA" w:rsidRDefault="00DE73DA" w:rsidP="005B5BC6">
      <w:pPr>
        <w:spacing w:after="0"/>
      </w:pPr>
      <w:r>
        <w:separator/>
      </w:r>
    </w:p>
  </w:footnote>
  <w:footnote w:type="continuationSeparator" w:id="0">
    <w:p w14:paraId="6513D507" w14:textId="77777777" w:rsidR="00DE73DA" w:rsidRDefault="00DE73DA" w:rsidP="005B5BC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E802F9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875EAD"/>
    <w:multiLevelType w:val="hybridMultilevel"/>
    <w:tmpl w:val="DE74C7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402938"/>
    <w:multiLevelType w:val="hybridMultilevel"/>
    <w:tmpl w:val="150E09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EB4871"/>
    <w:multiLevelType w:val="hybridMultilevel"/>
    <w:tmpl w:val="AE7EC5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F12BB9"/>
    <w:multiLevelType w:val="hybridMultilevel"/>
    <w:tmpl w:val="BBB0C8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0361B3"/>
    <w:multiLevelType w:val="hybridMultilevel"/>
    <w:tmpl w:val="BADE6C4C"/>
    <w:lvl w:ilvl="0" w:tplc="08090001">
      <w:start w:val="1"/>
      <w:numFmt w:val="bullet"/>
      <w:lvlText w:val=""/>
      <w:lvlJc w:val="left"/>
      <w:pPr>
        <w:ind w:left="1080" w:hanging="360"/>
      </w:pPr>
      <w:rPr>
        <w:rFonts w:ascii="Symbol" w:hAnsi="Symbol" w:hint="default"/>
      </w:rPr>
    </w:lvl>
    <w:lvl w:ilvl="1" w:tplc="0AB28E36">
      <w:start w:val="1"/>
      <w:numFmt w:val="lowerRoman"/>
      <w:lvlText w:val="%2."/>
      <w:lvlJc w:val="left"/>
      <w:pPr>
        <w:ind w:left="1800" w:hanging="360"/>
      </w:pPr>
      <w:rPr>
        <w:rFonts w:ascii="Arial" w:eastAsiaTheme="minorEastAsia" w:hAnsi="Arial" w:cstheme="minorBidi"/>
      </w:rPr>
    </w:lvl>
    <w:lvl w:ilvl="2" w:tplc="08090005">
      <w:start w:val="1"/>
      <w:numFmt w:val="bullet"/>
      <w:lvlText w:val=""/>
      <w:lvlJc w:val="left"/>
      <w:pPr>
        <w:ind w:left="2520" w:hanging="360"/>
      </w:pPr>
      <w:rPr>
        <w:rFonts w:ascii="Wingdings" w:hAnsi="Wingdings" w:hint="default"/>
      </w:rPr>
    </w:lvl>
    <w:lvl w:ilvl="3" w:tplc="4176BF14">
      <w:start w:val="1"/>
      <w:numFmt w:val="upperLetter"/>
      <w:lvlText w:val="%4)"/>
      <w:lvlJc w:val="left"/>
      <w:pPr>
        <w:ind w:left="3240" w:hanging="360"/>
      </w:pPr>
      <w:rPr>
        <w:rFonts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98B1735"/>
    <w:multiLevelType w:val="hybridMultilevel"/>
    <w:tmpl w:val="F2A4FE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BE00E00"/>
    <w:multiLevelType w:val="hybridMultilevel"/>
    <w:tmpl w:val="3EEA2124"/>
    <w:lvl w:ilvl="0" w:tplc="BC94220C">
      <w:start w:val="1"/>
      <w:numFmt w:val="lowerRoman"/>
      <w:lvlText w:val="%1."/>
      <w:lvlJc w:val="left"/>
      <w:pPr>
        <w:ind w:left="720" w:hanging="360"/>
      </w:pPr>
      <w:rPr>
        <w:rFonts w:ascii="Arial" w:eastAsiaTheme="minorEastAsia" w:hAnsi="Arial" w:cstheme="minorBidi"/>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233EE3"/>
    <w:multiLevelType w:val="hybridMultilevel"/>
    <w:tmpl w:val="AB2C350C"/>
    <w:lvl w:ilvl="0" w:tplc="F26A86D8">
      <w:start w:val="2"/>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1B72B6"/>
    <w:multiLevelType w:val="hybridMultilevel"/>
    <w:tmpl w:val="FAF63E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991FBA"/>
    <w:multiLevelType w:val="hybridMultilevel"/>
    <w:tmpl w:val="9DBA6A16"/>
    <w:lvl w:ilvl="0" w:tplc="3730A9EE">
      <w:start w:val="1"/>
      <w:numFmt w:val="lowerRoman"/>
      <w:lvlText w:val="%1."/>
      <w:lvlJc w:val="left"/>
      <w:pPr>
        <w:ind w:left="1080" w:hanging="360"/>
      </w:pPr>
      <w:rPr>
        <w:rFonts w:ascii="Arial" w:eastAsiaTheme="minorEastAsia" w:hAnsi="Arial" w:cstheme="minorBidi"/>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231A4360"/>
    <w:multiLevelType w:val="hybridMultilevel"/>
    <w:tmpl w:val="5D304D28"/>
    <w:lvl w:ilvl="0" w:tplc="292E1B9A">
      <w:start w:val="10"/>
      <w:numFmt w:val="bullet"/>
      <w:lvlText w:val="-"/>
      <w:lvlJc w:val="left"/>
      <w:pPr>
        <w:ind w:left="720" w:hanging="360"/>
      </w:pPr>
      <w:rPr>
        <w:rFonts w:ascii="Arial" w:eastAsiaTheme="minorEastAsia"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37E1BBE"/>
    <w:multiLevelType w:val="hybridMultilevel"/>
    <w:tmpl w:val="565EB2B4"/>
    <w:lvl w:ilvl="0" w:tplc="1F729EA8">
      <w:start w:val="1"/>
      <w:numFmt w:val="lowerLetter"/>
      <w:lvlText w:val="%1."/>
      <w:lvlJc w:val="left"/>
      <w:pPr>
        <w:ind w:left="1080" w:hanging="360"/>
      </w:pPr>
      <w:rPr>
        <w:rFonts w:ascii="Arial" w:eastAsiaTheme="minorEastAsia" w:hAnsi="Arial" w:cstheme="minorBidi"/>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34B00EC6"/>
    <w:multiLevelType w:val="hybridMultilevel"/>
    <w:tmpl w:val="76E0CBBE"/>
    <w:lvl w:ilvl="0" w:tplc="6DC20768">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3C6C4DE6"/>
    <w:multiLevelType w:val="hybridMultilevel"/>
    <w:tmpl w:val="811A30F8"/>
    <w:lvl w:ilvl="0" w:tplc="292E1B9A">
      <w:start w:val="10"/>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F4866AC"/>
    <w:multiLevelType w:val="hybridMultilevel"/>
    <w:tmpl w:val="E3C468C2"/>
    <w:lvl w:ilvl="0" w:tplc="D31A25E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3BE0023"/>
    <w:multiLevelType w:val="hybridMultilevel"/>
    <w:tmpl w:val="D8CA6354"/>
    <w:lvl w:ilvl="0" w:tplc="08090001">
      <w:start w:val="1"/>
      <w:numFmt w:val="bullet"/>
      <w:lvlText w:val=""/>
      <w:lvlJc w:val="left"/>
      <w:pPr>
        <w:ind w:left="720" w:hanging="360"/>
      </w:pPr>
      <w:rPr>
        <w:rFonts w:ascii="Symbol" w:hAnsi="Symbol" w:hint="default"/>
      </w:rPr>
    </w:lvl>
    <w:lvl w:ilvl="1" w:tplc="0809000F">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B3E4EF0"/>
    <w:multiLevelType w:val="hybridMultilevel"/>
    <w:tmpl w:val="DF1E03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BBF2410"/>
    <w:multiLevelType w:val="hybridMultilevel"/>
    <w:tmpl w:val="7FCAEA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E736790"/>
    <w:multiLevelType w:val="hybridMultilevel"/>
    <w:tmpl w:val="901E3D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EEA2DE6"/>
    <w:multiLevelType w:val="hybridMultilevel"/>
    <w:tmpl w:val="9CA054E0"/>
    <w:lvl w:ilvl="0" w:tplc="0E148CCA">
      <w:start w:val="5"/>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5461C00"/>
    <w:multiLevelType w:val="hybridMultilevel"/>
    <w:tmpl w:val="54EAEF2E"/>
    <w:lvl w:ilvl="0" w:tplc="D1CC12D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E290691"/>
    <w:multiLevelType w:val="hybridMultilevel"/>
    <w:tmpl w:val="2ABCB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0A31EE0"/>
    <w:multiLevelType w:val="hybridMultilevel"/>
    <w:tmpl w:val="73A63B66"/>
    <w:lvl w:ilvl="0" w:tplc="4E2A37C2">
      <w:numFmt w:val="bullet"/>
      <w:lvlText w:val=""/>
      <w:lvlJc w:val="left"/>
      <w:pPr>
        <w:ind w:left="720"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7020F99"/>
    <w:multiLevelType w:val="hybridMultilevel"/>
    <w:tmpl w:val="46B86C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0C21709"/>
    <w:multiLevelType w:val="hybridMultilevel"/>
    <w:tmpl w:val="FE72EB6E"/>
    <w:lvl w:ilvl="0" w:tplc="6342307A">
      <w:start w:val="1"/>
      <w:numFmt w:val="lowerRoman"/>
      <w:lvlText w:val="%1."/>
      <w:lvlJc w:val="left"/>
      <w:pPr>
        <w:ind w:left="720" w:hanging="360"/>
      </w:pPr>
      <w:rPr>
        <w:rFonts w:ascii="Arial" w:eastAsiaTheme="minorEastAsia" w:hAnsi="Arial"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2EA5137"/>
    <w:multiLevelType w:val="hybridMultilevel"/>
    <w:tmpl w:val="B7B2AF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7C50724"/>
    <w:multiLevelType w:val="hybridMultilevel"/>
    <w:tmpl w:val="5C5EFCAE"/>
    <w:lvl w:ilvl="0" w:tplc="65F00CC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80E70E7"/>
    <w:multiLevelType w:val="hybridMultilevel"/>
    <w:tmpl w:val="0DF4BFAC"/>
    <w:lvl w:ilvl="0" w:tplc="72C67FF2">
      <w:start w:val="5"/>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9F200FD"/>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29"/>
  </w:num>
  <w:num w:numId="2">
    <w:abstractNumId w:val="26"/>
  </w:num>
  <w:num w:numId="3">
    <w:abstractNumId w:val="11"/>
  </w:num>
  <w:num w:numId="4">
    <w:abstractNumId w:val="14"/>
  </w:num>
  <w:num w:numId="5">
    <w:abstractNumId w:val="19"/>
  </w:num>
  <w:num w:numId="6">
    <w:abstractNumId w:val="15"/>
  </w:num>
  <w:num w:numId="7">
    <w:abstractNumId w:val="6"/>
  </w:num>
  <w:num w:numId="8">
    <w:abstractNumId w:val="16"/>
  </w:num>
  <w:num w:numId="9">
    <w:abstractNumId w:val="25"/>
  </w:num>
  <w:num w:numId="10">
    <w:abstractNumId w:val="27"/>
  </w:num>
  <w:num w:numId="11">
    <w:abstractNumId w:val="10"/>
  </w:num>
  <w:num w:numId="12">
    <w:abstractNumId w:val="12"/>
  </w:num>
  <w:num w:numId="13">
    <w:abstractNumId w:val="21"/>
  </w:num>
  <w:num w:numId="14">
    <w:abstractNumId w:val="13"/>
  </w:num>
  <w:num w:numId="15">
    <w:abstractNumId w:val="7"/>
  </w:num>
  <w:num w:numId="16">
    <w:abstractNumId w:val="24"/>
  </w:num>
  <w:num w:numId="17">
    <w:abstractNumId w:val="5"/>
  </w:num>
  <w:num w:numId="18">
    <w:abstractNumId w:val="0"/>
  </w:num>
  <w:num w:numId="19">
    <w:abstractNumId w:val="2"/>
  </w:num>
  <w:num w:numId="20">
    <w:abstractNumId w:val="22"/>
  </w:num>
  <w:num w:numId="21">
    <w:abstractNumId w:val="8"/>
  </w:num>
  <w:num w:numId="22">
    <w:abstractNumId w:val="4"/>
  </w:num>
  <w:num w:numId="23">
    <w:abstractNumId w:val="17"/>
  </w:num>
  <w:num w:numId="24">
    <w:abstractNumId w:val="9"/>
  </w:num>
  <w:num w:numId="25">
    <w:abstractNumId w:val="3"/>
  </w:num>
  <w:num w:numId="26">
    <w:abstractNumId w:val="18"/>
  </w:num>
  <w:num w:numId="27">
    <w:abstractNumId w:val="1"/>
  </w:num>
  <w:num w:numId="28">
    <w:abstractNumId w:val="28"/>
  </w:num>
  <w:num w:numId="29">
    <w:abstractNumId w:val="20"/>
  </w:num>
  <w:num w:numId="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5816"/>
    <w:rsid w:val="00022AF9"/>
    <w:rsid w:val="0004640F"/>
    <w:rsid w:val="00094E23"/>
    <w:rsid w:val="00097BFA"/>
    <w:rsid w:val="000B14D8"/>
    <w:rsid w:val="000C2A1A"/>
    <w:rsid w:val="000C6840"/>
    <w:rsid w:val="000E58BD"/>
    <w:rsid w:val="000F6D0E"/>
    <w:rsid w:val="001135D7"/>
    <w:rsid w:val="00117DCE"/>
    <w:rsid w:val="00125816"/>
    <w:rsid w:val="001625B2"/>
    <w:rsid w:val="00165344"/>
    <w:rsid w:val="00173264"/>
    <w:rsid w:val="001841BE"/>
    <w:rsid w:val="001C0623"/>
    <w:rsid w:val="001E6427"/>
    <w:rsid w:val="002000A1"/>
    <w:rsid w:val="00204665"/>
    <w:rsid w:val="002337F2"/>
    <w:rsid w:val="0026558E"/>
    <w:rsid w:val="002917AA"/>
    <w:rsid w:val="002944B8"/>
    <w:rsid w:val="0029621B"/>
    <w:rsid w:val="002C2047"/>
    <w:rsid w:val="002C49A4"/>
    <w:rsid w:val="002D1B1C"/>
    <w:rsid w:val="002F1448"/>
    <w:rsid w:val="002F2220"/>
    <w:rsid w:val="00312C78"/>
    <w:rsid w:val="0031680F"/>
    <w:rsid w:val="003A19ED"/>
    <w:rsid w:val="003A6BFB"/>
    <w:rsid w:val="003A6EFA"/>
    <w:rsid w:val="003E526F"/>
    <w:rsid w:val="003F419B"/>
    <w:rsid w:val="003F747D"/>
    <w:rsid w:val="0041671F"/>
    <w:rsid w:val="00421DDB"/>
    <w:rsid w:val="00460841"/>
    <w:rsid w:val="00461162"/>
    <w:rsid w:val="00472A23"/>
    <w:rsid w:val="0047432D"/>
    <w:rsid w:val="004C74C1"/>
    <w:rsid w:val="004F5C82"/>
    <w:rsid w:val="0050076C"/>
    <w:rsid w:val="00510EF7"/>
    <w:rsid w:val="00527CB1"/>
    <w:rsid w:val="00596249"/>
    <w:rsid w:val="005B5BC6"/>
    <w:rsid w:val="005D2CF6"/>
    <w:rsid w:val="005D40F4"/>
    <w:rsid w:val="005F7ED8"/>
    <w:rsid w:val="00602BFA"/>
    <w:rsid w:val="00605337"/>
    <w:rsid w:val="006214AA"/>
    <w:rsid w:val="00623DC7"/>
    <w:rsid w:val="006265EC"/>
    <w:rsid w:val="00640FF2"/>
    <w:rsid w:val="00644A39"/>
    <w:rsid w:val="00650E3B"/>
    <w:rsid w:val="006551C1"/>
    <w:rsid w:val="00661D2E"/>
    <w:rsid w:val="00674DC7"/>
    <w:rsid w:val="006D3634"/>
    <w:rsid w:val="006E261B"/>
    <w:rsid w:val="006E2B7B"/>
    <w:rsid w:val="006E4DAC"/>
    <w:rsid w:val="006F147E"/>
    <w:rsid w:val="007245FB"/>
    <w:rsid w:val="00734FA7"/>
    <w:rsid w:val="00755B6A"/>
    <w:rsid w:val="00767EBF"/>
    <w:rsid w:val="00791E85"/>
    <w:rsid w:val="007C7B97"/>
    <w:rsid w:val="007F18CD"/>
    <w:rsid w:val="00805C3D"/>
    <w:rsid w:val="00807FBE"/>
    <w:rsid w:val="0085625F"/>
    <w:rsid w:val="00872F14"/>
    <w:rsid w:val="0088008A"/>
    <w:rsid w:val="008A01B8"/>
    <w:rsid w:val="008A4B0B"/>
    <w:rsid w:val="008B6F3A"/>
    <w:rsid w:val="008D7EB7"/>
    <w:rsid w:val="008E4E9B"/>
    <w:rsid w:val="008E55B3"/>
    <w:rsid w:val="008F6119"/>
    <w:rsid w:val="009322A6"/>
    <w:rsid w:val="00980FA2"/>
    <w:rsid w:val="009C15B5"/>
    <w:rsid w:val="00A04B27"/>
    <w:rsid w:val="00A14463"/>
    <w:rsid w:val="00A444D7"/>
    <w:rsid w:val="00A503DE"/>
    <w:rsid w:val="00A51B81"/>
    <w:rsid w:val="00A706DA"/>
    <w:rsid w:val="00A95135"/>
    <w:rsid w:val="00AB4330"/>
    <w:rsid w:val="00AC407C"/>
    <w:rsid w:val="00AF6B42"/>
    <w:rsid w:val="00B33868"/>
    <w:rsid w:val="00B47E08"/>
    <w:rsid w:val="00B83C9C"/>
    <w:rsid w:val="00B85118"/>
    <w:rsid w:val="00BB2760"/>
    <w:rsid w:val="00BC7D9C"/>
    <w:rsid w:val="00C1661A"/>
    <w:rsid w:val="00C25077"/>
    <w:rsid w:val="00C33E40"/>
    <w:rsid w:val="00C93122"/>
    <w:rsid w:val="00CB19A3"/>
    <w:rsid w:val="00CC0851"/>
    <w:rsid w:val="00CD2CE6"/>
    <w:rsid w:val="00CE2C16"/>
    <w:rsid w:val="00CE38CB"/>
    <w:rsid w:val="00CF2879"/>
    <w:rsid w:val="00CF75A0"/>
    <w:rsid w:val="00D336EA"/>
    <w:rsid w:val="00D4265A"/>
    <w:rsid w:val="00D654CA"/>
    <w:rsid w:val="00D920CC"/>
    <w:rsid w:val="00DC6473"/>
    <w:rsid w:val="00DE5A72"/>
    <w:rsid w:val="00DE73DA"/>
    <w:rsid w:val="00E45442"/>
    <w:rsid w:val="00E63792"/>
    <w:rsid w:val="00E81BE5"/>
    <w:rsid w:val="00EB109A"/>
    <w:rsid w:val="00EC69F7"/>
    <w:rsid w:val="00EE5031"/>
    <w:rsid w:val="00F01E15"/>
    <w:rsid w:val="00F14A92"/>
    <w:rsid w:val="00F46C5E"/>
    <w:rsid w:val="00F56DAC"/>
    <w:rsid w:val="00F737D6"/>
    <w:rsid w:val="00F77F95"/>
    <w:rsid w:val="00F83D4F"/>
    <w:rsid w:val="00FC3C21"/>
    <w:rsid w:val="00FE13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29A4F02"/>
  <w15:docId w15:val="{8580C5FF-2DFD-4DC0-893B-9219EFECB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747D"/>
    <w:pPr>
      <w:spacing w:after="120" w:line="240" w:lineRule="auto"/>
    </w:pPr>
    <w:rPr>
      <w:rFonts w:ascii="Arial" w:hAnsi="Arial"/>
    </w:rPr>
  </w:style>
  <w:style w:type="paragraph" w:styleId="Heading1">
    <w:name w:val="heading 1"/>
    <w:basedOn w:val="Normal"/>
    <w:next w:val="Normal"/>
    <w:link w:val="Heading1Char"/>
    <w:uiPriority w:val="9"/>
    <w:qFormat/>
    <w:rsid w:val="00650E3B"/>
    <w:pPr>
      <w:keepNext/>
      <w:numPr>
        <w:numId w:val="1"/>
      </w:numPr>
      <w:spacing w:before="480" w:after="0" w:line="360" w:lineRule="auto"/>
      <w:ind w:left="431" w:hanging="431"/>
      <w:contextualSpacing/>
      <w:jc w:val="both"/>
      <w:outlineLvl w:val="0"/>
    </w:pPr>
    <w:rPr>
      <w:rFonts w:eastAsiaTheme="majorEastAsia" w:cstheme="majorBidi"/>
      <w:b/>
      <w:bCs/>
      <w:smallCaps/>
      <w:sz w:val="40"/>
      <w:szCs w:val="28"/>
      <w:lang w:bidi="en-US"/>
    </w:rPr>
  </w:style>
  <w:style w:type="paragraph" w:styleId="Heading2">
    <w:name w:val="heading 2"/>
    <w:basedOn w:val="Normal"/>
    <w:next w:val="Normal"/>
    <w:link w:val="Heading2Char"/>
    <w:uiPriority w:val="9"/>
    <w:unhideWhenUsed/>
    <w:qFormat/>
    <w:rsid w:val="00650E3B"/>
    <w:pPr>
      <w:keepNext/>
      <w:numPr>
        <w:ilvl w:val="1"/>
        <w:numId w:val="1"/>
      </w:numPr>
      <w:pBdr>
        <w:bottom w:val="single" w:sz="4" w:space="1" w:color="auto"/>
      </w:pBdr>
      <w:spacing w:before="600" w:after="0" w:line="360" w:lineRule="auto"/>
      <w:ind w:left="578" w:hanging="578"/>
      <w:jc w:val="both"/>
      <w:outlineLvl w:val="1"/>
    </w:pPr>
    <w:rPr>
      <w:rFonts w:eastAsiaTheme="majorEastAsia" w:cstheme="majorBidi"/>
      <w:b/>
      <w:bCs/>
      <w:smallCaps/>
      <w:sz w:val="32"/>
      <w:szCs w:val="26"/>
      <w:lang w:val="en-US" w:bidi="en-US"/>
    </w:rPr>
  </w:style>
  <w:style w:type="paragraph" w:styleId="Heading3">
    <w:name w:val="heading 3"/>
    <w:basedOn w:val="Normal"/>
    <w:next w:val="Normal"/>
    <w:link w:val="Heading3Char"/>
    <w:uiPriority w:val="9"/>
    <w:unhideWhenUsed/>
    <w:qFormat/>
    <w:rsid w:val="00650E3B"/>
    <w:pPr>
      <w:keepNext/>
      <w:numPr>
        <w:ilvl w:val="2"/>
        <w:numId w:val="1"/>
      </w:numPr>
      <w:spacing w:before="480" w:after="0" w:line="271" w:lineRule="auto"/>
      <w:jc w:val="both"/>
      <w:outlineLvl w:val="2"/>
    </w:pPr>
    <w:rPr>
      <w:rFonts w:eastAsiaTheme="majorEastAsia" w:cstheme="majorBidi"/>
      <w:b/>
      <w:bCs/>
      <w:smallCaps/>
      <w:sz w:val="28"/>
      <w:lang w:bidi="en-US"/>
    </w:rPr>
  </w:style>
  <w:style w:type="paragraph" w:styleId="Heading4">
    <w:name w:val="heading 4"/>
    <w:basedOn w:val="Normal"/>
    <w:next w:val="Normal"/>
    <w:link w:val="Heading4Char"/>
    <w:uiPriority w:val="9"/>
    <w:unhideWhenUsed/>
    <w:qFormat/>
    <w:rsid w:val="003F747D"/>
    <w:pPr>
      <w:keepNext/>
      <w:spacing w:before="120"/>
      <w:contextualSpacing/>
      <w:jc w:val="both"/>
      <w:outlineLvl w:val="3"/>
    </w:pPr>
    <w:rPr>
      <w:rFonts w:eastAsiaTheme="majorEastAsia" w:cstheme="majorBidi"/>
      <w:b/>
      <w:bCs/>
      <w:iCs/>
      <w:smallCaps/>
      <w:sz w:val="24"/>
      <w:lang w:bidi="en-US"/>
    </w:rPr>
  </w:style>
  <w:style w:type="paragraph" w:styleId="Heading5">
    <w:name w:val="heading 5"/>
    <w:basedOn w:val="Normal"/>
    <w:next w:val="Normal"/>
    <w:link w:val="Heading5Char"/>
    <w:uiPriority w:val="9"/>
    <w:unhideWhenUsed/>
    <w:qFormat/>
    <w:rsid w:val="00650E3B"/>
    <w:pPr>
      <w:numPr>
        <w:ilvl w:val="4"/>
        <w:numId w:val="1"/>
      </w:numPr>
      <w:spacing w:before="200" w:after="0" w:line="360" w:lineRule="auto"/>
      <w:jc w:val="both"/>
      <w:outlineLvl w:val="4"/>
    </w:pPr>
    <w:rPr>
      <w:rFonts w:eastAsiaTheme="majorEastAsia" w:cstheme="majorBidi"/>
      <w:bCs/>
      <w:i/>
      <w:smallCaps/>
      <w:lang w:bidi="en-US"/>
    </w:rPr>
  </w:style>
  <w:style w:type="paragraph" w:styleId="Heading6">
    <w:name w:val="heading 6"/>
    <w:basedOn w:val="Normal"/>
    <w:next w:val="Normal"/>
    <w:link w:val="Heading6Char"/>
    <w:uiPriority w:val="9"/>
    <w:unhideWhenUsed/>
    <w:qFormat/>
    <w:rsid w:val="00650E3B"/>
    <w:pPr>
      <w:numPr>
        <w:ilvl w:val="5"/>
        <w:numId w:val="1"/>
      </w:numPr>
      <w:spacing w:before="200" w:after="0" w:line="271" w:lineRule="auto"/>
      <w:jc w:val="both"/>
      <w:outlineLvl w:val="5"/>
    </w:pPr>
    <w:rPr>
      <w:rFonts w:eastAsiaTheme="majorEastAsia" w:cstheme="majorBidi"/>
      <w:bCs/>
      <w:i/>
      <w:iCs/>
      <w:lang w:bidi="en-US"/>
    </w:rPr>
  </w:style>
  <w:style w:type="paragraph" w:styleId="Heading7">
    <w:name w:val="heading 7"/>
    <w:basedOn w:val="Normal"/>
    <w:next w:val="Normal"/>
    <w:link w:val="Heading7Char"/>
    <w:uiPriority w:val="9"/>
    <w:semiHidden/>
    <w:unhideWhenUsed/>
    <w:qFormat/>
    <w:rsid w:val="00650E3B"/>
    <w:pPr>
      <w:numPr>
        <w:ilvl w:val="6"/>
        <w:numId w:val="1"/>
      </w:numPr>
      <w:spacing w:before="200" w:after="0" w:line="360" w:lineRule="auto"/>
      <w:jc w:val="both"/>
      <w:outlineLvl w:val="6"/>
    </w:pPr>
    <w:rPr>
      <w:rFonts w:asciiTheme="majorHAnsi" w:eastAsiaTheme="majorEastAsia" w:hAnsiTheme="majorHAnsi" w:cstheme="majorBidi"/>
      <w:i/>
      <w:iCs/>
      <w:lang w:bidi="en-US"/>
    </w:rPr>
  </w:style>
  <w:style w:type="paragraph" w:styleId="Heading8">
    <w:name w:val="heading 8"/>
    <w:basedOn w:val="Normal"/>
    <w:next w:val="Normal"/>
    <w:link w:val="Heading8Char"/>
    <w:uiPriority w:val="9"/>
    <w:semiHidden/>
    <w:unhideWhenUsed/>
    <w:qFormat/>
    <w:rsid w:val="00650E3B"/>
    <w:pPr>
      <w:numPr>
        <w:ilvl w:val="7"/>
        <w:numId w:val="1"/>
      </w:numPr>
      <w:spacing w:before="200" w:after="0" w:line="360" w:lineRule="auto"/>
      <w:jc w:val="both"/>
      <w:outlineLvl w:val="7"/>
    </w:pPr>
    <w:rPr>
      <w:rFonts w:asciiTheme="majorHAnsi" w:eastAsiaTheme="majorEastAsia" w:hAnsiTheme="majorHAnsi" w:cstheme="majorBidi"/>
      <w:sz w:val="20"/>
      <w:szCs w:val="20"/>
      <w:lang w:bidi="en-US"/>
    </w:rPr>
  </w:style>
  <w:style w:type="paragraph" w:styleId="Heading9">
    <w:name w:val="heading 9"/>
    <w:basedOn w:val="Normal"/>
    <w:next w:val="Normal"/>
    <w:link w:val="Heading9Char"/>
    <w:uiPriority w:val="9"/>
    <w:semiHidden/>
    <w:unhideWhenUsed/>
    <w:qFormat/>
    <w:rsid w:val="00650E3B"/>
    <w:pPr>
      <w:numPr>
        <w:ilvl w:val="8"/>
        <w:numId w:val="1"/>
      </w:numPr>
      <w:spacing w:before="200" w:after="0" w:line="360" w:lineRule="auto"/>
      <w:jc w:val="both"/>
      <w:outlineLvl w:val="8"/>
    </w:pPr>
    <w:rPr>
      <w:rFonts w:asciiTheme="majorHAnsi" w:eastAsiaTheme="majorEastAsia" w:hAnsiTheme="majorHAnsi" w:cstheme="majorBidi"/>
      <w:i/>
      <w:iCs/>
      <w:spacing w:val="5"/>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767EBF"/>
    <w:pPr>
      <w:spacing w:after="0"/>
    </w:pPr>
    <w:rPr>
      <w:rFonts w:ascii="Consolas" w:hAnsi="Consolas" w:cs="Consolas"/>
      <w:sz w:val="21"/>
      <w:szCs w:val="21"/>
    </w:rPr>
  </w:style>
  <w:style w:type="character" w:customStyle="1" w:styleId="PlainTextChar">
    <w:name w:val="Plain Text Char"/>
    <w:basedOn w:val="DefaultParagraphFont"/>
    <w:link w:val="PlainText"/>
    <w:uiPriority w:val="99"/>
    <w:rsid w:val="00767EBF"/>
    <w:rPr>
      <w:rFonts w:ascii="Consolas" w:hAnsi="Consolas" w:cs="Consolas"/>
      <w:sz w:val="21"/>
      <w:szCs w:val="21"/>
    </w:rPr>
  </w:style>
  <w:style w:type="character" w:customStyle="1" w:styleId="Heading1Char">
    <w:name w:val="Heading 1 Char"/>
    <w:basedOn w:val="DefaultParagraphFont"/>
    <w:link w:val="Heading1"/>
    <w:uiPriority w:val="9"/>
    <w:rsid w:val="00650E3B"/>
    <w:rPr>
      <w:rFonts w:ascii="Arial" w:eastAsiaTheme="majorEastAsia" w:hAnsi="Arial" w:cstheme="majorBidi"/>
      <w:b/>
      <w:bCs/>
      <w:smallCaps/>
      <w:sz w:val="40"/>
      <w:szCs w:val="28"/>
      <w:lang w:bidi="en-US"/>
    </w:rPr>
  </w:style>
  <w:style w:type="character" w:customStyle="1" w:styleId="Heading2Char">
    <w:name w:val="Heading 2 Char"/>
    <w:basedOn w:val="DefaultParagraphFont"/>
    <w:link w:val="Heading2"/>
    <w:uiPriority w:val="9"/>
    <w:rsid w:val="00650E3B"/>
    <w:rPr>
      <w:rFonts w:ascii="Arial" w:eastAsiaTheme="majorEastAsia" w:hAnsi="Arial" w:cstheme="majorBidi"/>
      <w:b/>
      <w:bCs/>
      <w:smallCaps/>
      <w:sz w:val="32"/>
      <w:szCs w:val="26"/>
      <w:lang w:val="en-US" w:bidi="en-US"/>
    </w:rPr>
  </w:style>
  <w:style w:type="character" w:customStyle="1" w:styleId="Heading3Char">
    <w:name w:val="Heading 3 Char"/>
    <w:basedOn w:val="DefaultParagraphFont"/>
    <w:link w:val="Heading3"/>
    <w:uiPriority w:val="9"/>
    <w:rsid w:val="00650E3B"/>
    <w:rPr>
      <w:rFonts w:ascii="Arial" w:eastAsiaTheme="majorEastAsia" w:hAnsi="Arial" w:cstheme="majorBidi"/>
      <w:b/>
      <w:bCs/>
      <w:smallCaps/>
      <w:sz w:val="28"/>
      <w:lang w:bidi="en-US"/>
    </w:rPr>
  </w:style>
  <w:style w:type="character" w:customStyle="1" w:styleId="Heading4Char">
    <w:name w:val="Heading 4 Char"/>
    <w:basedOn w:val="DefaultParagraphFont"/>
    <w:link w:val="Heading4"/>
    <w:uiPriority w:val="9"/>
    <w:rsid w:val="003F747D"/>
    <w:rPr>
      <w:rFonts w:ascii="Arial" w:eastAsiaTheme="majorEastAsia" w:hAnsi="Arial" w:cstheme="majorBidi"/>
      <w:b/>
      <w:bCs/>
      <w:iCs/>
      <w:smallCaps/>
      <w:sz w:val="24"/>
      <w:lang w:bidi="en-US"/>
    </w:rPr>
  </w:style>
  <w:style w:type="character" w:customStyle="1" w:styleId="Heading5Char">
    <w:name w:val="Heading 5 Char"/>
    <w:basedOn w:val="DefaultParagraphFont"/>
    <w:link w:val="Heading5"/>
    <w:uiPriority w:val="9"/>
    <w:rsid w:val="00650E3B"/>
    <w:rPr>
      <w:rFonts w:ascii="Arial" w:eastAsiaTheme="majorEastAsia" w:hAnsi="Arial" w:cstheme="majorBidi"/>
      <w:bCs/>
      <w:i/>
      <w:smallCaps/>
      <w:lang w:bidi="en-US"/>
    </w:rPr>
  </w:style>
  <w:style w:type="character" w:customStyle="1" w:styleId="Heading6Char">
    <w:name w:val="Heading 6 Char"/>
    <w:basedOn w:val="DefaultParagraphFont"/>
    <w:link w:val="Heading6"/>
    <w:uiPriority w:val="9"/>
    <w:rsid w:val="00650E3B"/>
    <w:rPr>
      <w:rFonts w:ascii="Arial" w:eastAsiaTheme="majorEastAsia" w:hAnsi="Arial" w:cstheme="majorBidi"/>
      <w:bCs/>
      <w:i/>
      <w:iCs/>
      <w:lang w:bidi="en-US"/>
    </w:rPr>
  </w:style>
  <w:style w:type="character" w:customStyle="1" w:styleId="Heading7Char">
    <w:name w:val="Heading 7 Char"/>
    <w:basedOn w:val="DefaultParagraphFont"/>
    <w:link w:val="Heading7"/>
    <w:uiPriority w:val="9"/>
    <w:semiHidden/>
    <w:rsid w:val="00650E3B"/>
    <w:rPr>
      <w:rFonts w:asciiTheme="majorHAnsi" w:eastAsiaTheme="majorEastAsia" w:hAnsiTheme="majorHAnsi" w:cstheme="majorBidi"/>
      <w:i/>
      <w:iCs/>
      <w:lang w:bidi="en-US"/>
    </w:rPr>
  </w:style>
  <w:style w:type="character" w:customStyle="1" w:styleId="Heading8Char">
    <w:name w:val="Heading 8 Char"/>
    <w:basedOn w:val="DefaultParagraphFont"/>
    <w:link w:val="Heading8"/>
    <w:uiPriority w:val="9"/>
    <w:semiHidden/>
    <w:rsid w:val="00650E3B"/>
    <w:rPr>
      <w:rFonts w:asciiTheme="majorHAnsi" w:eastAsiaTheme="majorEastAsia" w:hAnsiTheme="majorHAnsi" w:cstheme="majorBidi"/>
      <w:sz w:val="20"/>
      <w:szCs w:val="20"/>
      <w:lang w:bidi="en-US"/>
    </w:rPr>
  </w:style>
  <w:style w:type="character" w:customStyle="1" w:styleId="Heading9Char">
    <w:name w:val="Heading 9 Char"/>
    <w:basedOn w:val="DefaultParagraphFont"/>
    <w:link w:val="Heading9"/>
    <w:uiPriority w:val="9"/>
    <w:semiHidden/>
    <w:rsid w:val="00650E3B"/>
    <w:rPr>
      <w:rFonts w:asciiTheme="majorHAnsi" w:eastAsiaTheme="majorEastAsia" w:hAnsiTheme="majorHAnsi" w:cstheme="majorBidi"/>
      <w:i/>
      <w:iCs/>
      <w:spacing w:val="5"/>
      <w:sz w:val="20"/>
      <w:szCs w:val="20"/>
      <w:lang w:bidi="en-US"/>
    </w:rPr>
  </w:style>
  <w:style w:type="table" w:customStyle="1" w:styleId="table">
    <w:name w:val="table"/>
    <w:basedOn w:val="TableNormal"/>
    <w:uiPriority w:val="99"/>
    <w:rsid w:val="00650E3B"/>
    <w:pPr>
      <w:spacing w:after="0" w:line="240" w:lineRule="auto"/>
      <w:jc w:val="center"/>
    </w:pPr>
    <w:rPr>
      <w:rFonts w:ascii="Arial" w:eastAsiaTheme="minorEastAsia" w:hAnsi="Arial"/>
      <w:color w:val="000000" w:themeColor="text1"/>
      <w:sz w:val="18"/>
      <w:lang w:val="en-US" w:bidi="en-US"/>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style>
  <w:style w:type="paragraph" w:styleId="Caption">
    <w:name w:val="caption"/>
    <w:basedOn w:val="Normal"/>
    <w:next w:val="Normal"/>
    <w:uiPriority w:val="35"/>
    <w:unhideWhenUsed/>
    <w:qFormat/>
    <w:rsid w:val="00650E3B"/>
    <w:pPr>
      <w:spacing w:before="200"/>
      <w:jc w:val="center"/>
    </w:pPr>
    <w:rPr>
      <w:rFonts w:eastAsiaTheme="minorEastAsia"/>
      <w:bCs/>
      <w:i/>
      <w:color w:val="000000" w:themeColor="text1"/>
      <w:sz w:val="18"/>
      <w:szCs w:val="18"/>
      <w:lang w:bidi="en-US"/>
    </w:rPr>
  </w:style>
  <w:style w:type="paragraph" w:styleId="Title">
    <w:name w:val="Title"/>
    <w:basedOn w:val="Normal"/>
    <w:next w:val="Normal"/>
    <w:link w:val="TitleChar"/>
    <w:uiPriority w:val="10"/>
    <w:qFormat/>
    <w:rsid w:val="00650E3B"/>
    <w:pPr>
      <w:spacing w:before="200"/>
      <w:contextualSpacing/>
      <w:jc w:val="both"/>
    </w:pPr>
    <w:rPr>
      <w:rFonts w:eastAsiaTheme="majorEastAsia" w:cstheme="majorBidi"/>
      <w:smallCaps/>
      <w:spacing w:val="5"/>
      <w:sz w:val="52"/>
      <w:szCs w:val="52"/>
      <w:lang w:bidi="en-US"/>
    </w:rPr>
  </w:style>
  <w:style w:type="character" w:customStyle="1" w:styleId="TitleChar">
    <w:name w:val="Title Char"/>
    <w:basedOn w:val="DefaultParagraphFont"/>
    <w:link w:val="Title"/>
    <w:uiPriority w:val="10"/>
    <w:rsid w:val="00650E3B"/>
    <w:rPr>
      <w:rFonts w:ascii="Arial" w:eastAsiaTheme="majorEastAsia" w:hAnsi="Arial" w:cstheme="majorBidi"/>
      <w:smallCaps/>
      <w:spacing w:val="5"/>
      <w:sz w:val="52"/>
      <w:szCs w:val="52"/>
      <w:lang w:bidi="en-US"/>
    </w:rPr>
  </w:style>
  <w:style w:type="paragraph" w:styleId="Subtitle">
    <w:name w:val="Subtitle"/>
    <w:basedOn w:val="Normal"/>
    <w:next w:val="Normal"/>
    <w:link w:val="SubtitleChar"/>
    <w:uiPriority w:val="11"/>
    <w:qFormat/>
    <w:rsid w:val="00650E3B"/>
    <w:pPr>
      <w:spacing w:before="200" w:after="600" w:line="360" w:lineRule="auto"/>
      <w:jc w:val="both"/>
    </w:pPr>
    <w:rPr>
      <w:rFonts w:asciiTheme="majorHAnsi" w:eastAsiaTheme="majorEastAsia" w:hAnsiTheme="majorHAnsi" w:cstheme="majorBidi"/>
      <w:i/>
      <w:iCs/>
      <w:spacing w:val="13"/>
      <w:sz w:val="24"/>
      <w:szCs w:val="24"/>
      <w:lang w:bidi="en-US"/>
    </w:rPr>
  </w:style>
  <w:style w:type="character" w:customStyle="1" w:styleId="SubtitleChar">
    <w:name w:val="Subtitle Char"/>
    <w:basedOn w:val="DefaultParagraphFont"/>
    <w:link w:val="Subtitle"/>
    <w:uiPriority w:val="11"/>
    <w:rsid w:val="00650E3B"/>
    <w:rPr>
      <w:rFonts w:asciiTheme="majorHAnsi" w:eastAsiaTheme="majorEastAsia" w:hAnsiTheme="majorHAnsi" w:cstheme="majorBidi"/>
      <w:i/>
      <w:iCs/>
      <w:spacing w:val="13"/>
      <w:sz w:val="24"/>
      <w:szCs w:val="24"/>
      <w:lang w:bidi="en-US"/>
    </w:rPr>
  </w:style>
  <w:style w:type="character" w:styleId="Strong">
    <w:name w:val="Strong"/>
    <w:uiPriority w:val="22"/>
    <w:qFormat/>
    <w:rsid w:val="00650E3B"/>
    <w:rPr>
      <w:b/>
      <w:bCs/>
    </w:rPr>
  </w:style>
  <w:style w:type="character" w:styleId="Emphasis">
    <w:name w:val="Emphasis"/>
    <w:uiPriority w:val="20"/>
    <w:qFormat/>
    <w:rsid w:val="00650E3B"/>
    <w:rPr>
      <w:b/>
      <w:bCs/>
      <w:i/>
      <w:iCs/>
      <w:spacing w:val="10"/>
      <w:bdr w:val="none" w:sz="0" w:space="0" w:color="auto"/>
      <w:shd w:val="clear" w:color="auto" w:fill="auto"/>
    </w:rPr>
  </w:style>
  <w:style w:type="table" w:styleId="TableGrid">
    <w:name w:val="Table Grid"/>
    <w:basedOn w:val="TableNormal"/>
    <w:uiPriority w:val="59"/>
    <w:rsid w:val="00650E3B"/>
    <w:pPr>
      <w:spacing w:after="0" w:line="240" w:lineRule="auto"/>
    </w:pPr>
    <w:rPr>
      <w:rFonts w:eastAsiaTheme="minorEastAsia"/>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basedOn w:val="Normal"/>
    <w:link w:val="NoSpacingChar"/>
    <w:uiPriority w:val="1"/>
    <w:qFormat/>
    <w:rsid w:val="00650E3B"/>
    <w:pPr>
      <w:spacing w:before="200" w:after="0"/>
      <w:jc w:val="both"/>
    </w:pPr>
    <w:rPr>
      <w:rFonts w:eastAsiaTheme="minorEastAsia"/>
      <w:lang w:bidi="en-US"/>
    </w:rPr>
  </w:style>
  <w:style w:type="paragraph" w:styleId="ListParagraph">
    <w:name w:val="List Paragraph"/>
    <w:basedOn w:val="Normal"/>
    <w:uiPriority w:val="34"/>
    <w:qFormat/>
    <w:rsid w:val="00650E3B"/>
    <w:pPr>
      <w:spacing w:before="200" w:line="360" w:lineRule="auto"/>
      <w:contextualSpacing/>
      <w:jc w:val="both"/>
    </w:pPr>
    <w:rPr>
      <w:rFonts w:eastAsiaTheme="minorEastAsia"/>
      <w:lang w:bidi="en-US"/>
    </w:rPr>
  </w:style>
  <w:style w:type="paragraph" w:styleId="Quote">
    <w:name w:val="Quote"/>
    <w:basedOn w:val="Normal"/>
    <w:next w:val="Normal"/>
    <w:link w:val="QuoteChar"/>
    <w:uiPriority w:val="29"/>
    <w:qFormat/>
    <w:rsid w:val="00650E3B"/>
    <w:pPr>
      <w:spacing w:before="200" w:after="0" w:line="360" w:lineRule="auto"/>
      <w:ind w:left="360" w:right="360"/>
      <w:jc w:val="center"/>
    </w:pPr>
    <w:rPr>
      <w:rFonts w:eastAsiaTheme="minorEastAsia"/>
      <w:i/>
      <w:iCs/>
      <w:lang w:bidi="en-US"/>
    </w:rPr>
  </w:style>
  <w:style w:type="character" w:customStyle="1" w:styleId="QuoteChar">
    <w:name w:val="Quote Char"/>
    <w:basedOn w:val="DefaultParagraphFont"/>
    <w:link w:val="Quote"/>
    <w:uiPriority w:val="29"/>
    <w:rsid w:val="00650E3B"/>
    <w:rPr>
      <w:rFonts w:ascii="Arial" w:eastAsiaTheme="minorEastAsia" w:hAnsi="Arial"/>
      <w:i/>
      <w:iCs/>
      <w:lang w:bidi="en-US"/>
    </w:rPr>
  </w:style>
  <w:style w:type="paragraph" w:styleId="IntenseQuote">
    <w:name w:val="Intense Quote"/>
    <w:basedOn w:val="Normal"/>
    <w:next w:val="Normal"/>
    <w:link w:val="IntenseQuoteChar"/>
    <w:uiPriority w:val="30"/>
    <w:qFormat/>
    <w:rsid w:val="00650E3B"/>
    <w:pPr>
      <w:pBdr>
        <w:bottom w:val="single" w:sz="4" w:space="1" w:color="auto"/>
      </w:pBdr>
      <w:spacing w:before="200" w:after="280" w:line="360" w:lineRule="auto"/>
      <w:ind w:left="1008" w:right="1152"/>
      <w:jc w:val="both"/>
    </w:pPr>
    <w:rPr>
      <w:rFonts w:eastAsiaTheme="minorEastAsia"/>
      <w:b/>
      <w:bCs/>
      <w:i/>
      <w:iCs/>
      <w:lang w:bidi="en-US"/>
    </w:rPr>
  </w:style>
  <w:style w:type="character" w:customStyle="1" w:styleId="IntenseQuoteChar">
    <w:name w:val="Intense Quote Char"/>
    <w:basedOn w:val="DefaultParagraphFont"/>
    <w:link w:val="IntenseQuote"/>
    <w:uiPriority w:val="30"/>
    <w:rsid w:val="00650E3B"/>
    <w:rPr>
      <w:rFonts w:ascii="Arial" w:eastAsiaTheme="minorEastAsia" w:hAnsi="Arial"/>
      <w:b/>
      <w:bCs/>
      <w:i/>
      <w:iCs/>
      <w:lang w:bidi="en-US"/>
    </w:rPr>
  </w:style>
  <w:style w:type="character" w:styleId="SubtleEmphasis">
    <w:name w:val="Subtle Emphasis"/>
    <w:uiPriority w:val="19"/>
    <w:qFormat/>
    <w:rsid w:val="00650E3B"/>
    <w:rPr>
      <w:i/>
      <w:iCs/>
    </w:rPr>
  </w:style>
  <w:style w:type="character" w:styleId="IntenseEmphasis">
    <w:name w:val="Intense Emphasis"/>
    <w:uiPriority w:val="21"/>
    <w:qFormat/>
    <w:rsid w:val="00650E3B"/>
    <w:rPr>
      <w:b/>
      <w:bCs/>
    </w:rPr>
  </w:style>
  <w:style w:type="character" w:styleId="SubtleReference">
    <w:name w:val="Subtle Reference"/>
    <w:uiPriority w:val="31"/>
    <w:qFormat/>
    <w:rsid w:val="00650E3B"/>
    <w:rPr>
      <w:smallCaps/>
    </w:rPr>
  </w:style>
  <w:style w:type="character" w:styleId="IntenseReference">
    <w:name w:val="Intense Reference"/>
    <w:uiPriority w:val="32"/>
    <w:qFormat/>
    <w:rsid w:val="00650E3B"/>
    <w:rPr>
      <w:smallCaps/>
      <w:spacing w:val="5"/>
      <w:u w:val="single"/>
    </w:rPr>
  </w:style>
  <w:style w:type="character" w:styleId="BookTitle">
    <w:name w:val="Book Title"/>
    <w:uiPriority w:val="33"/>
    <w:qFormat/>
    <w:rsid w:val="00650E3B"/>
    <w:rPr>
      <w:i/>
      <w:iCs/>
      <w:smallCaps/>
      <w:spacing w:val="5"/>
    </w:rPr>
  </w:style>
  <w:style w:type="paragraph" w:styleId="TOCHeading">
    <w:name w:val="TOC Heading"/>
    <w:basedOn w:val="Heading1"/>
    <w:next w:val="Normal"/>
    <w:uiPriority w:val="39"/>
    <w:unhideWhenUsed/>
    <w:qFormat/>
    <w:rsid w:val="00650E3B"/>
    <w:pPr>
      <w:outlineLvl w:val="9"/>
    </w:pPr>
  </w:style>
  <w:style w:type="paragraph" w:customStyle="1" w:styleId="IntroHeading">
    <w:name w:val="Intro Heading"/>
    <w:next w:val="Normal"/>
    <w:qFormat/>
    <w:rsid w:val="00650E3B"/>
    <w:rPr>
      <w:rFonts w:ascii="Arial" w:eastAsiaTheme="majorEastAsia" w:hAnsi="Arial" w:cstheme="majorBidi"/>
      <w:b/>
      <w:bCs/>
      <w:smallCaps/>
      <w:sz w:val="32"/>
      <w:szCs w:val="26"/>
      <w:lang w:val="en-US" w:bidi="en-US"/>
    </w:rPr>
  </w:style>
  <w:style w:type="table" w:customStyle="1" w:styleId="tableheader">
    <w:name w:val="table header"/>
    <w:basedOn w:val="TableNormal"/>
    <w:uiPriority w:val="99"/>
    <w:rsid w:val="00650E3B"/>
    <w:pPr>
      <w:spacing w:after="0" w:line="240" w:lineRule="auto"/>
    </w:pPr>
    <w:rPr>
      <w:rFonts w:eastAsiaTheme="minorEastAsia"/>
      <w:lang w:val="en-US" w:bidi="en-US"/>
    </w:rPr>
    <w:tblPr/>
    <w:tblStylePr w:type="firstRow">
      <w:pPr>
        <w:wordWrap/>
      </w:pPr>
      <w:rPr>
        <w:rFonts w:ascii="Arial" w:hAnsi="Arial"/>
        <w:b/>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table" w:customStyle="1" w:styleId="tablemainbody">
    <w:name w:val="table main body"/>
    <w:basedOn w:val="TableNormal"/>
    <w:uiPriority w:val="99"/>
    <w:rsid w:val="00650E3B"/>
    <w:pPr>
      <w:spacing w:after="0" w:line="240" w:lineRule="auto"/>
      <w:jc w:val="center"/>
    </w:pPr>
    <w:rPr>
      <w:rFonts w:ascii="Arial" w:eastAsiaTheme="minorEastAsia" w:hAnsi="Arial"/>
      <w:sz w:val="18"/>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customStyle="1" w:styleId="Tableheader0">
    <w:name w:val="Table header"/>
    <w:basedOn w:val="Normal"/>
    <w:next w:val="Normal"/>
    <w:autoRedefine/>
    <w:qFormat/>
    <w:rsid w:val="00650E3B"/>
    <w:pPr>
      <w:spacing w:before="200" w:after="0" w:line="360" w:lineRule="auto"/>
      <w:jc w:val="both"/>
    </w:pPr>
    <w:rPr>
      <w:rFonts w:eastAsiaTheme="minorEastAsia"/>
      <w:b/>
      <w:sz w:val="18"/>
      <w:lang w:bidi="en-US"/>
    </w:rPr>
  </w:style>
  <w:style w:type="paragraph" w:customStyle="1" w:styleId="Tablemain">
    <w:name w:val="Table main"/>
    <w:basedOn w:val="Normal"/>
    <w:qFormat/>
    <w:rsid w:val="00650E3B"/>
    <w:pPr>
      <w:spacing w:after="0"/>
      <w:jc w:val="both"/>
    </w:pPr>
    <w:rPr>
      <w:rFonts w:eastAsiaTheme="minorEastAsia"/>
      <w:sz w:val="18"/>
      <w:lang w:bidi="en-US"/>
    </w:rPr>
  </w:style>
  <w:style w:type="paragraph" w:styleId="BodyText">
    <w:name w:val="Body Text"/>
    <w:basedOn w:val="Normal"/>
    <w:link w:val="BodyTextChar"/>
    <w:uiPriority w:val="99"/>
    <w:unhideWhenUsed/>
    <w:rsid w:val="00650E3B"/>
    <w:pPr>
      <w:spacing w:before="200" w:line="360" w:lineRule="auto"/>
      <w:jc w:val="both"/>
    </w:pPr>
    <w:rPr>
      <w:rFonts w:eastAsiaTheme="minorEastAsia"/>
      <w:lang w:bidi="en-US"/>
    </w:rPr>
  </w:style>
  <w:style w:type="character" w:customStyle="1" w:styleId="BodyTextChar">
    <w:name w:val="Body Text Char"/>
    <w:basedOn w:val="DefaultParagraphFont"/>
    <w:link w:val="BodyText"/>
    <w:uiPriority w:val="99"/>
    <w:rsid w:val="00650E3B"/>
    <w:rPr>
      <w:rFonts w:ascii="Arial" w:eastAsiaTheme="minorEastAsia" w:hAnsi="Arial"/>
      <w:lang w:bidi="en-US"/>
    </w:rPr>
  </w:style>
  <w:style w:type="paragraph" w:styleId="BodyText2">
    <w:name w:val="Body Text 2"/>
    <w:basedOn w:val="Normal"/>
    <w:link w:val="BodyText2Char"/>
    <w:uiPriority w:val="99"/>
    <w:unhideWhenUsed/>
    <w:rsid w:val="00650E3B"/>
    <w:pPr>
      <w:spacing w:before="200" w:line="480" w:lineRule="auto"/>
      <w:jc w:val="both"/>
    </w:pPr>
    <w:rPr>
      <w:rFonts w:eastAsiaTheme="minorEastAsia"/>
      <w:lang w:bidi="en-US"/>
    </w:rPr>
  </w:style>
  <w:style w:type="character" w:customStyle="1" w:styleId="BodyText2Char">
    <w:name w:val="Body Text 2 Char"/>
    <w:basedOn w:val="DefaultParagraphFont"/>
    <w:link w:val="BodyText2"/>
    <w:uiPriority w:val="99"/>
    <w:rsid w:val="00650E3B"/>
    <w:rPr>
      <w:rFonts w:ascii="Arial" w:eastAsiaTheme="minorEastAsia" w:hAnsi="Arial"/>
      <w:lang w:bidi="en-US"/>
    </w:rPr>
  </w:style>
  <w:style w:type="paragraph" w:styleId="BodyTextFirstIndent">
    <w:name w:val="Body Text First Indent"/>
    <w:basedOn w:val="BodyText"/>
    <w:link w:val="BodyTextFirstIndentChar"/>
    <w:uiPriority w:val="99"/>
    <w:unhideWhenUsed/>
    <w:rsid w:val="00650E3B"/>
    <w:pPr>
      <w:spacing w:after="200"/>
      <w:ind w:firstLine="360"/>
    </w:pPr>
  </w:style>
  <w:style w:type="character" w:customStyle="1" w:styleId="BodyTextFirstIndentChar">
    <w:name w:val="Body Text First Indent Char"/>
    <w:basedOn w:val="BodyTextChar"/>
    <w:link w:val="BodyTextFirstIndent"/>
    <w:uiPriority w:val="99"/>
    <w:rsid w:val="00650E3B"/>
    <w:rPr>
      <w:rFonts w:ascii="Arial" w:eastAsiaTheme="minorEastAsia" w:hAnsi="Arial"/>
      <w:lang w:bidi="en-US"/>
    </w:rPr>
  </w:style>
  <w:style w:type="paragraph" w:styleId="TOC1">
    <w:name w:val="toc 1"/>
    <w:basedOn w:val="Normal"/>
    <w:next w:val="Normal"/>
    <w:autoRedefine/>
    <w:uiPriority w:val="39"/>
    <w:unhideWhenUsed/>
    <w:rsid w:val="00650E3B"/>
    <w:pPr>
      <w:tabs>
        <w:tab w:val="left" w:pos="440"/>
        <w:tab w:val="right" w:leader="dot" w:pos="8494"/>
      </w:tabs>
      <w:spacing w:before="200" w:after="100" w:line="360" w:lineRule="auto"/>
      <w:jc w:val="both"/>
    </w:pPr>
    <w:rPr>
      <w:rFonts w:eastAsiaTheme="minorEastAsia"/>
      <w:b/>
      <w:noProof/>
      <w:lang w:bidi="en-US"/>
    </w:rPr>
  </w:style>
  <w:style w:type="character" w:styleId="Hyperlink">
    <w:name w:val="Hyperlink"/>
    <w:basedOn w:val="DefaultParagraphFont"/>
    <w:uiPriority w:val="99"/>
    <w:unhideWhenUsed/>
    <w:rsid w:val="00650E3B"/>
    <w:rPr>
      <w:color w:val="0000FF" w:themeColor="hyperlink"/>
      <w:u w:val="single"/>
    </w:rPr>
  </w:style>
  <w:style w:type="paragraph" w:styleId="BalloonText">
    <w:name w:val="Balloon Text"/>
    <w:basedOn w:val="Normal"/>
    <w:link w:val="BalloonTextChar"/>
    <w:uiPriority w:val="99"/>
    <w:semiHidden/>
    <w:unhideWhenUsed/>
    <w:rsid w:val="00650E3B"/>
    <w:pPr>
      <w:spacing w:before="200" w:after="0"/>
      <w:jc w:val="both"/>
    </w:pPr>
    <w:rPr>
      <w:rFonts w:ascii="Tahoma" w:eastAsiaTheme="minorEastAsia" w:hAnsi="Tahoma" w:cs="Tahoma"/>
      <w:sz w:val="16"/>
      <w:szCs w:val="16"/>
      <w:lang w:bidi="en-US"/>
    </w:rPr>
  </w:style>
  <w:style w:type="character" w:customStyle="1" w:styleId="BalloonTextChar">
    <w:name w:val="Balloon Text Char"/>
    <w:basedOn w:val="DefaultParagraphFont"/>
    <w:link w:val="BalloonText"/>
    <w:uiPriority w:val="99"/>
    <w:semiHidden/>
    <w:rsid w:val="00650E3B"/>
    <w:rPr>
      <w:rFonts w:ascii="Tahoma" w:eastAsiaTheme="minorEastAsia" w:hAnsi="Tahoma" w:cs="Tahoma"/>
      <w:sz w:val="16"/>
      <w:szCs w:val="16"/>
      <w:lang w:bidi="en-US"/>
    </w:rPr>
  </w:style>
  <w:style w:type="paragraph" w:styleId="TOC2">
    <w:name w:val="toc 2"/>
    <w:basedOn w:val="Normal"/>
    <w:next w:val="Normal"/>
    <w:autoRedefine/>
    <w:uiPriority w:val="39"/>
    <w:unhideWhenUsed/>
    <w:rsid w:val="00650E3B"/>
    <w:pPr>
      <w:spacing w:before="200" w:after="100" w:line="360" w:lineRule="auto"/>
      <w:ind w:left="220"/>
      <w:jc w:val="both"/>
    </w:pPr>
    <w:rPr>
      <w:rFonts w:eastAsiaTheme="minorEastAsia"/>
      <w:lang w:bidi="en-US"/>
    </w:rPr>
  </w:style>
  <w:style w:type="paragraph" w:styleId="TOC3">
    <w:name w:val="toc 3"/>
    <w:basedOn w:val="Normal"/>
    <w:next w:val="Normal"/>
    <w:autoRedefine/>
    <w:uiPriority w:val="39"/>
    <w:unhideWhenUsed/>
    <w:rsid w:val="00650E3B"/>
    <w:pPr>
      <w:spacing w:before="200" w:after="100" w:line="360" w:lineRule="auto"/>
      <w:ind w:left="440"/>
      <w:jc w:val="both"/>
    </w:pPr>
    <w:rPr>
      <w:rFonts w:eastAsiaTheme="minorEastAsia"/>
      <w:lang w:bidi="en-US"/>
    </w:rPr>
  </w:style>
  <w:style w:type="character" w:styleId="CommentReference">
    <w:name w:val="annotation reference"/>
    <w:basedOn w:val="DefaultParagraphFont"/>
    <w:uiPriority w:val="99"/>
    <w:unhideWhenUsed/>
    <w:rsid w:val="00650E3B"/>
    <w:rPr>
      <w:sz w:val="16"/>
      <w:szCs w:val="16"/>
    </w:rPr>
  </w:style>
  <w:style w:type="paragraph" w:styleId="CommentText">
    <w:name w:val="annotation text"/>
    <w:basedOn w:val="Normal"/>
    <w:link w:val="CommentTextChar"/>
    <w:uiPriority w:val="99"/>
    <w:unhideWhenUsed/>
    <w:rsid w:val="00650E3B"/>
    <w:pPr>
      <w:spacing w:before="200"/>
      <w:jc w:val="both"/>
    </w:pPr>
    <w:rPr>
      <w:rFonts w:eastAsiaTheme="minorEastAsia"/>
      <w:sz w:val="20"/>
      <w:szCs w:val="20"/>
      <w:lang w:bidi="en-US"/>
    </w:rPr>
  </w:style>
  <w:style w:type="character" w:customStyle="1" w:styleId="CommentTextChar">
    <w:name w:val="Comment Text Char"/>
    <w:basedOn w:val="DefaultParagraphFont"/>
    <w:link w:val="CommentText"/>
    <w:uiPriority w:val="99"/>
    <w:rsid w:val="00650E3B"/>
    <w:rPr>
      <w:rFonts w:ascii="Arial" w:eastAsiaTheme="minorEastAsia" w:hAnsi="Arial"/>
      <w:sz w:val="20"/>
      <w:szCs w:val="20"/>
      <w:lang w:bidi="en-US"/>
    </w:rPr>
  </w:style>
  <w:style w:type="paragraph" w:styleId="CommentSubject">
    <w:name w:val="annotation subject"/>
    <w:basedOn w:val="CommentText"/>
    <w:next w:val="CommentText"/>
    <w:link w:val="CommentSubjectChar"/>
    <w:uiPriority w:val="99"/>
    <w:semiHidden/>
    <w:unhideWhenUsed/>
    <w:rsid w:val="00650E3B"/>
    <w:rPr>
      <w:b/>
      <w:bCs/>
    </w:rPr>
  </w:style>
  <w:style w:type="character" w:customStyle="1" w:styleId="CommentSubjectChar">
    <w:name w:val="Comment Subject Char"/>
    <w:basedOn w:val="CommentTextChar"/>
    <w:link w:val="CommentSubject"/>
    <w:uiPriority w:val="99"/>
    <w:semiHidden/>
    <w:rsid w:val="00650E3B"/>
    <w:rPr>
      <w:rFonts w:ascii="Arial" w:eastAsiaTheme="minorEastAsia" w:hAnsi="Arial"/>
      <w:b/>
      <w:bCs/>
      <w:sz w:val="20"/>
      <w:szCs w:val="20"/>
      <w:lang w:bidi="en-US"/>
    </w:rPr>
  </w:style>
  <w:style w:type="paragraph" w:styleId="NormalWeb">
    <w:name w:val="Normal (Web)"/>
    <w:basedOn w:val="Normal"/>
    <w:uiPriority w:val="99"/>
    <w:semiHidden/>
    <w:unhideWhenUsed/>
    <w:rsid w:val="00650E3B"/>
    <w:pPr>
      <w:spacing w:before="100" w:beforeAutospacing="1" w:after="100" w:afterAutospacing="1"/>
    </w:pPr>
    <w:rPr>
      <w:rFonts w:ascii="Times New Roman" w:eastAsiaTheme="minorEastAsia" w:hAnsi="Times New Roman" w:cs="Times New Roman"/>
      <w:sz w:val="24"/>
      <w:szCs w:val="24"/>
      <w:lang w:eastAsia="en-GB"/>
    </w:rPr>
  </w:style>
  <w:style w:type="paragraph" w:styleId="DocumentMap">
    <w:name w:val="Document Map"/>
    <w:basedOn w:val="Normal"/>
    <w:link w:val="DocumentMapChar"/>
    <w:uiPriority w:val="99"/>
    <w:semiHidden/>
    <w:unhideWhenUsed/>
    <w:rsid w:val="00650E3B"/>
    <w:pPr>
      <w:spacing w:after="0"/>
      <w:jc w:val="both"/>
    </w:pPr>
    <w:rPr>
      <w:rFonts w:ascii="Tahoma" w:eastAsiaTheme="minorEastAsia" w:hAnsi="Tahoma" w:cs="Tahoma"/>
      <w:sz w:val="16"/>
      <w:szCs w:val="16"/>
      <w:lang w:bidi="en-US"/>
    </w:rPr>
  </w:style>
  <w:style w:type="character" w:customStyle="1" w:styleId="DocumentMapChar">
    <w:name w:val="Document Map Char"/>
    <w:basedOn w:val="DefaultParagraphFont"/>
    <w:link w:val="DocumentMap"/>
    <w:uiPriority w:val="99"/>
    <w:semiHidden/>
    <w:rsid w:val="00650E3B"/>
    <w:rPr>
      <w:rFonts w:ascii="Tahoma" w:eastAsiaTheme="minorEastAsia" w:hAnsi="Tahoma" w:cs="Tahoma"/>
      <w:sz w:val="16"/>
      <w:szCs w:val="16"/>
      <w:lang w:bidi="en-US"/>
    </w:rPr>
  </w:style>
  <w:style w:type="paragraph" w:styleId="Header">
    <w:name w:val="header"/>
    <w:basedOn w:val="Normal"/>
    <w:link w:val="HeaderChar"/>
    <w:uiPriority w:val="99"/>
    <w:unhideWhenUsed/>
    <w:rsid w:val="00650E3B"/>
    <w:pPr>
      <w:tabs>
        <w:tab w:val="center" w:pos="4513"/>
        <w:tab w:val="right" w:pos="9026"/>
      </w:tabs>
      <w:spacing w:after="0"/>
      <w:jc w:val="both"/>
    </w:pPr>
    <w:rPr>
      <w:rFonts w:eastAsiaTheme="minorEastAsia"/>
      <w:lang w:bidi="en-US"/>
    </w:rPr>
  </w:style>
  <w:style w:type="character" w:customStyle="1" w:styleId="HeaderChar">
    <w:name w:val="Header Char"/>
    <w:basedOn w:val="DefaultParagraphFont"/>
    <w:link w:val="Header"/>
    <w:uiPriority w:val="99"/>
    <w:rsid w:val="00650E3B"/>
    <w:rPr>
      <w:rFonts w:ascii="Arial" w:eastAsiaTheme="minorEastAsia" w:hAnsi="Arial"/>
      <w:lang w:bidi="en-US"/>
    </w:rPr>
  </w:style>
  <w:style w:type="paragraph" w:styleId="Footer">
    <w:name w:val="footer"/>
    <w:basedOn w:val="Normal"/>
    <w:link w:val="FooterChar"/>
    <w:uiPriority w:val="99"/>
    <w:unhideWhenUsed/>
    <w:rsid w:val="00650E3B"/>
    <w:pPr>
      <w:tabs>
        <w:tab w:val="center" w:pos="4513"/>
        <w:tab w:val="right" w:pos="9026"/>
      </w:tabs>
      <w:spacing w:after="0"/>
      <w:jc w:val="both"/>
    </w:pPr>
    <w:rPr>
      <w:rFonts w:eastAsiaTheme="minorEastAsia"/>
      <w:lang w:bidi="en-US"/>
    </w:rPr>
  </w:style>
  <w:style w:type="character" w:customStyle="1" w:styleId="FooterChar">
    <w:name w:val="Footer Char"/>
    <w:basedOn w:val="DefaultParagraphFont"/>
    <w:link w:val="Footer"/>
    <w:uiPriority w:val="99"/>
    <w:rsid w:val="00650E3B"/>
    <w:rPr>
      <w:rFonts w:ascii="Arial" w:eastAsiaTheme="minorEastAsia" w:hAnsi="Arial"/>
      <w:lang w:bidi="en-US"/>
    </w:rPr>
  </w:style>
  <w:style w:type="paragraph" w:customStyle="1" w:styleId="chapterabstract">
    <w:name w:val="chapter abstract"/>
    <w:basedOn w:val="Normal"/>
    <w:link w:val="chapterabstractChar"/>
    <w:qFormat/>
    <w:rsid w:val="00650E3B"/>
    <w:pPr>
      <w:pBdr>
        <w:top w:val="single" w:sz="4" w:space="1" w:color="auto"/>
        <w:left w:val="single" w:sz="4" w:space="4" w:color="auto"/>
        <w:bottom w:val="single" w:sz="4" w:space="1" w:color="auto"/>
        <w:right w:val="single" w:sz="4" w:space="4" w:color="auto"/>
      </w:pBdr>
      <w:spacing w:before="200" w:line="360" w:lineRule="auto"/>
      <w:jc w:val="both"/>
    </w:pPr>
    <w:rPr>
      <w:rFonts w:eastAsiaTheme="minorEastAsia"/>
      <w:i/>
      <w:sz w:val="18"/>
      <w:szCs w:val="18"/>
      <w:lang w:bidi="en-US"/>
    </w:rPr>
  </w:style>
  <w:style w:type="character" w:customStyle="1" w:styleId="chapterabstractChar">
    <w:name w:val="chapter abstract Char"/>
    <w:basedOn w:val="DefaultParagraphFont"/>
    <w:link w:val="chapterabstract"/>
    <w:rsid w:val="00650E3B"/>
    <w:rPr>
      <w:rFonts w:ascii="Arial" w:eastAsiaTheme="minorEastAsia" w:hAnsi="Arial"/>
      <w:i/>
      <w:sz w:val="18"/>
      <w:szCs w:val="18"/>
      <w:lang w:bidi="en-US"/>
    </w:rPr>
  </w:style>
  <w:style w:type="paragraph" w:styleId="TOC4">
    <w:name w:val="toc 4"/>
    <w:basedOn w:val="Normal"/>
    <w:next w:val="Normal"/>
    <w:autoRedefine/>
    <w:uiPriority w:val="39"/>
    <w:unhideWhenUsed/>
    <w:rsid w:val="00650E3B"/>
    <w:pPr>
      <w:spacing w:before="200" w:after="100" w:line="360" w:lineRule="auto"/>
      <w:ind w:left="660"/>
      <w:jc w:val="both"/>
    </w:pPr>
    <w:rPr>
      <w:rFonts w:eastAsiaTheme="minorEastAsia"/>
      <w:lang w:bidi="en-US"/>
    </w:rPr>
  </w:style>
  <w:style w:type="paragraph" w:styleId="FootnoteText">
    <w:name w:val="footnote text"/>
    <w:basedOn w:val="Normal"/>
    <w:link w:val="FootnoteTextChar"/>
    <w:uiPriority w:val="99"/>
    <w:semiHidden/>
    <w:unhideWhenUsed/>
    <w:rsid w:val="00650E3B"/>
    <w:pPr>
      <w:suppressAutoHyphens/>
      <w:jc w:val="both"/>
    </w:pPr>
    <w:rPr>
      <w:rFonts w:ascii="Calibri" w:eastAsia="Times New Roman" w:hAnsi="Calibri" w:cs="Calibri"/>
      <w:sz w:val="20"/>
      <w:szCs w:val="20"/>
      <w:lang w:bidi="en-US"/>
    </w:rPr>
  </w:style>
  <w:style w:type="character" w:customStyle="1" w:styleId="FootnoteTextChar">
    <w:name w:val="Footnote Text Char"/>
    <w:basedOn w:val="DefaultParagraphFont"/>
    <w:link w:val="FootnoteText"/>
    <w:uiPriority w:val="99"/>
    <w:semiHidden/>
    <w:rsid w:val="00650E3B"/>
    <w:rPr>
      <w:rFonts w:ascii="Calibri" w:eastAsia="Times New Roman" w:hAnsi="Calibri" w:cs="Calibri"/>
      <w:sz w:val="20"/>
      <w:szCs w:val="20"/>
      <w:lang w:bidi="en-US"/>
    </w:rPr>
  </w:style>
  <w:style w:type="character" w:styleId="FootnoteReference">
    <w:name w:val="footnote reference"/>
    <w:uiPriority w:val="99"/>
    <w:semiHidden/>
    <w:unhideWhenUsed/>
    <w:rsid w:val="00650E3B"/>
    <w:rPr>
      <w:vertAlign w:val="superscript"/>
    </w:rPr>
  </w:style>
  <w:style w:type="character" w:customStyle="1" w:styleId="CommentTextChar1">
    <w:name w:val="Comment Text Char1"/>
    <w:basedOn w:val="DefaultParagraphFont"/>
    <w:uiPriority w:val="99"/>
    <w:rsid w:val="00650E3B"/>
    <w:rPr>
      <w:rFonts w:ascii="Arial" w:hAnsi="Arial"/>
      <w:sz w:val="20"/>
      <w:szCs w:val="20"/>
    </w:rPr>
  </w:style>
  <w:style w:type="character" w:customStyle="1" w:styleId="CommentSubjectChar1">
    <w:name w:val="Comment Subject Char1"/>
    <w:basedOn w:val="CommentTextChar"/>
    <w:uiPriority w:val="99"/>
    <w:semiHidden/>
    <w:rsid w:val="00650E3B"/>
    <w:rPr>
      <w:rFonts w:ascii="Arial" w:eastAsiaTheme="minorEastAsia" w:hAnsi="Arial"/>
      <w:b/>
      <w:bCs/>
      <w:sz w:val="20"/>
      <w:szCs w:val="20"/>
      <w:lang w:val="en-GB" w:bidi="en-US"/>
    </w:rPr>
  </w:style>
  <w:style w:type="character" w:customStyle="1" w:styleId="DocumentMapChar1">
    <w:name w:val="Document Map Char1"/>
    <w:basedOn w:val="DefaultParagraphFont"/>
    <w:uiPriority w:val="99"/>
    <w:semiHidden/>
    <w:rsid w:val="00650E3B"/>
    <w:rPr>
      <w:rFonts w:ascii="Tahoma" w:hAnsi="Tahoma" w:cs="Tahoma"/>
      <w:sz w:val="16"/>
      <w:szCs w:val="16"/>
    </w:rPr>
  </w:style>
  <w:style w:type="character" w:customStyle="1" w:styleId="FootnoteTextChar1">
    <w:name w:val="Footnote Text Char1"/>
    <w:basedOn w:val="DefaultParagraphFont"/>
    <w:uiPriority w:val="99"/>
    <w:semiHidden/>
    <w:rsid w:val="00650E3B"/>
    <w:rPr>
      <w:rFonts w:ascii="Calibri" w:eastAsia="Times New Roman" w:hAnsi="Calibri" w:cs="Calibri"/>
      <w:sz w:val="20"/>
      <w:szCs w:val="20"/>
      <w:lang w:val="en-GB"/>
    </w:rPr>
  </w:style>
  <w:style w:type="paragraph" w:customStyle="1" w:styleId="style26">
    <w:name w:val="style26"/>
    <w:basedOn w:val="Normal"/>
    <w:rsid w:val="00650E3B"/>
    <w:pPr>
      <w:spacing w:before="100" w:beforeAutospacing="1" w:after="100" w:afterAutospacing="1"/>
    </w:pPr>
    <w:rPr>
      <w:rFonts w:ascii="Times New Roman" w:eastAsia="Times New Roman" w:hAnsi="Times New Roman" w:cs="Times New Roman"/>
      <w:sz w:val="24"/>
      <w:szCs w:val="24"/>
      <w:lang w:eastAsia="en-GB"/>
    </w:rPr>
  </w:style>
  <w:style w:type="character" w:styleId="PlaceholderText">
    <w:name w:val="Placeholder Text"/>
    <w:uiPriority w:val="99"/>
    <w:semiHidden/>
    <w:rsid w:val="00650E3B"/>
    <w:rPr>
      <w:color w:val="808080"/>
    </w:rPr>
  </w:style>
  <w:style w:type="paragraph" w:styleId="Revision">
    <w:name w:val="Revision"/>
    <w:hidden/>
    <w:uiPriority w:val="99"/>
    <w:semiHidden/>
    <w:rsid w:val="00650E3B"/>
    <w:pPr>
      <w:spacing w:after="0" w:line="240" w:lineRule="auto"/>
    </w:pPr>
    <w:rPr>
      <w:rFonts w:ascii="Arial" w:eastAsia="Times New Roman" w:hAnsi="Arial" w:cs="Times New Roman"/>
      <w:lang w:val="en-US" w:bidi="en-US"/>
    </w:rPr>
  </w:style>
  <w:style w:type="character" w:customStyle="1" w:styleId="NoSpacingChar">
    <w:name w:val="No Spacing Char"/>
    <w:basedOn w:val="DefaultParagraphFont"/>
    <w:link w:val="NoSpacing"/>
    <w:uiPriority w:val="1"/>
    <w:rsid w:val="00650E3B"/>
    <w:rPr>
      <w:rFonts w:ascii="Arial" w:eastAsiaTheme="minorEastAsia" w:hAnsi="Arial"/>
      <w:lang w:bidi="en-US"/>
    </w:rPr>
  </w:style>
  <w:style w:type="character" w:styleId="FollowedHyperlink">
    <w:name w:val="FollowedHyperlink"/>
    <w:basedOn w:val="DefaultParagraphFont"/>
    <w:uiPriority w:val="99"/>
    <w:semiHidden/>
    <w:unhideWhenUsed/>
    <w:rsid w:val="00650E3B"/>
    <w:rPr>
      <w:color w:val="800080" w:themeColor="followedHyperlink"/>
      <w:u w:val="single"/>
    </w:rPr>
  </w:style>
  <w:style w:type="paragraph" w:styleId="TOC5">
    <w:name w:val="toc 5"/>
    <w:basedOn w:val="Normal"/>
    <w:next w:val="Normal"/>
    <w:autoRedefine/>
    <w:uiPriority w:val="39"/>
    <w:unhideWhenUsed/>
    <w:rsid w:val="00650E3B"/>
    <w:pPr>
      <w:spacing w:after="100"/>
      <w:ind w:left="880"/>
    </w:pPr>
    <w:rPr>
      <w:rFonts w:eastAsiaTheme="minorEastAsia"/>
      <w:lang w:eastAsia="en-GB"/>
    </w:rPr>
  </w:style>
  <w:style w:type="paragraph" w:styleId="TOC6">
    <w:name w:val="toc 6"/>
    <w:basedOn w:val="Normal"/>
    <w:next w:val="Normal"/>
    <w:autoRedefine/>
    <w:uiPriority w:val="39"/>
    <w:unhideWhenUsed/>
    <w:rsid w:val="00650E3B"/>
    <w:pPr>
      <w:spacing w:after="100"/>
      <w:ind w:left="1100"/>
    </w:pPr>
    <w:rPr>
      <w:rFonts w:eastAsiaTheme="minorEastAsia"/>
      <w:lang w:eastAsia="en-GB"/>
    </w:rPr>
  </w:style>
  <w:style w:type="paragraph" w:styleId="TOC7">
    <w:name w:val="toc 7"/>
    <w:basedOn w:val="Normal"/>
    <w:next w:val="Normal"/>
    <w:autoRedefine/>
    <w:uiPriority w:val="39"/>
    <w:unhideWhenUsed/>
    <w:rsid w:val="00650E3B"/>
    <w:pPr>
      <w:spacing w:after="100"/>
      <w:ind w:left="1320"/>
    </w:pPr>
    <w:rPr>
      <w:rFonts w:eastAsiaTheme="minorEastAsia"/>
      <w:lang w:eastAsia="en-GB"/>
    </w:rPr>
  </w:style>
  <w:style w:type="paragraph" w:styleId="TOC8">
    <w:name w:val="toc 8"/>
    <w:basedOn w:val="Normal"/>
    <w:next w:val="Normal"/>
    <w:autoRedefine/>
    <w:uiPriority w:val="39"/>
    <w:unhideWhenUsed/>
    <w:rsid w:val="00650E3B"/>
    <w:pPr>
      <w:spacing w:after="100"/>
      <w:ind w:left="1540"/>
    </w:pPr>
    <w:rPr>
      <w:rFonts w:eastAsiaTheme="minorEastAsia"/>
      <w:lang w:eastAsia="en-GB"/>
    </w:rPr>
  </w:style>
  <w:style w:type="paragraph" w:styleId="TOC9">
    <w:name w:val="toc 9"/>
    <w:basedOn w:val="Normal"/>
    <w:next w:val="Normal"/>
    <w:autoRedefine/>
    <w:uiPriority w:val="39"/>
    <w:unhideWhenUsed/>
    <w:rsid w:val="00650E3B"/>
    <w:pPr>
      <w:spacing w:after="100"/>
      <w:ind w:left="1760"/>
    </w:pPr>
    <w:rPr>
      <w:rFonts w:eastAsiaTheme="minorEastAsia"/>
      <w:lang w:eastAsia="en-GB"/>
    </w:rPr>
  </w:style>
  <w:style w:type="character" w:customStyle="1" w:styleId="apple-converted-space">
    <w:name w:val="apple-converted-space"/>
    <w:basedOn w:val="DefaultParagraphFont"/>
    <w:rsid w:val="00650E3B"/>
  </w:style>
  <w:style w:type="character" w:customStyle="1" w:styleId="personname">
    <w:name w:val="person_name"/>
    <w:basedOn w:val="DefaultParagraphFont"/>
    <w:rsid w:val="008800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9294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183</TotalTime>
  <Pages>2</Pages>
  <Words>662</Words>
  <Characters>3777</Characters>
  <Application>Microsoft Office Word</Application>
  <DocSecurity>0</DocSecurity>
  <Lines>31</Lines>
  <Paragraphs>8</Paragraphs>
  <ScaleCrop>false</ScaleCrop>
  <Company/>
  <LinksUpToDate>false</LinksUpToDate>
  <CharactersWithSpaces>4431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Marlène Mengoni</dc:creator>
  <cp:keywords/>
  <dc:description/>
  <cp:lastModifiedBy>Marlène Mengoni</cp:lastModifiedBy>
  <cp:revision>145</cp:revision>
  <cp:lastPrinted>2021-04-21T13:02:00Z</cp:lastPrinted>
  <dcterms:created xsi:type="dcterms:W3CDTF">2021-04-08T09:13:00Z</dcterms:created>
  <dcterms:modified xsi:type="dcterms:W3CDTF">2021-04-21T13:03:00Z</dcterms:modified>
</cp:coreProperties>
</file>